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media/image1.jpeg" ContentType="image/jpe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foot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left" w:pos="851" w:leader="none"/>
        </w:tabs>
        <w:spacing w:lineRule="auto" w:line="276" w:before="0" w:after="120"/>
        <w:jc w:val="center"/>
        <w:rPr/>
      </w:pPr>
      <w:r>
        <w:rPr>
          <w:rFonts w:cs="Arial" w:ascii="Arial" w:hAnsi="Arial"/>
          <w:b/>
          <w:sz w:val="28"/>
          <w:szCs w:val="28"/>
        </w:rPr>
        <w:t>TERMO DE REFERÊNCIA</w:t>
      </w:r>
    </w:p>
    <w:p>
      <w:pPr>
        <w:pStyle w:val="Normal"/>
        <w:tabs>
          <w:tab w:val="left" w:pos="851" w:leader="none"/>
        </w:tabs>
        <w:spacing w:lineRule="auto" w:line="276" w:before="0" w:after="120"/>
        <w:jc w:val="center"/>
        <w:rPr>
          <w:rFonts w:ascii="Arial" w:hAnsi="Arial" w:cs="Arial"/>
          <w:b/>
          <w:b/>
          <w:sz w:val="28"/>
          <w:szCs w:val="28"/>
        </w:rPr>
      </w:pPr>
      <w:r>
        <w:rPr>
          <w:rFonts w:cs="Arial" w:ascii="Arial" w:hAnsi="Arial"/>
          <w:b/>
          <w:sz w:val="28"/>
          <w:szCs w:val="28"/>
        </w:rPr>
      </w:r>
    </w:p>
    <w:tbl>
      <w:tblPr>
        <w:tblW w:w="9214" w:type="dxa"/>
        <w:jc w:val="lef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48" w:type="dxa"/>
          <w:bottom w:w="0" w:type="dxa"/>
          <w:right w:w="108" w:type="dxa"/>
        </w:tblCellMar>
        <w:tblLook w:firstRow="1" w:noVBand="1" w:lastRow="0" w:firstColumn="1" w:lastColumn="0" w:noHBand="0" w:val="04a0"/>
      </w:tblPr>
      <w:tblGrid>
        <w:gridCol w:w="9214"/>
      </w:tblGrid>
      <w:tr>
        <w:trPr>
          <w:trHeight w:val="438" w:hRule="atLeast"/>
        </w:trPr>
        <w:tc>
          <w:tcPr>
            <w:tcW w:w="92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D9D9D9" w:val="clear"/>
            <w:vAlign w:val="center"/>
          </w:tcPr>
          <w:p>
            <w:pPr>
              <w:pStyle w:val="Normal"/>
              <w:tabs>
                <w:tab w:val="left" w:pos="851" w:leader="none"/>
              </w:tabs>
              <w:spacing w:lineRule="auto" w:line="240" w:before="0" w:after="120"/>
              <w:jc w:val="center"/>
              <w:rPr/>
            </w:pPr>
            <w:r>
              <w:rPr>
                <w:rFonts w:cs="Arial" w:ascii="Arial" w:hAnsi="Arial"/>
                <w:b/>
                <w:color w:val="000000"/>
                <w:szCs w:val="22"/>
              </w:rPr>
              <w:t>REFORMA E AMPLIAÇÃO D</w:t>
            </w:r>
            <w:r>
              <w:rPr>
                <w:rFonts w:cs="Arial" w:ascii="Arial" w:hAnsi="Arial"/>
                <w:b/>
                <w:color w:val="000000"/>
                <w:szCs w:val="22"/>
              </w:rPr>
              <w:t>A ESCOLA BÁSICA MELVIN JONES</w:t>
            </w:r>
          </w:p>
        </w:tc>
      </w:tr>
    </w:tbl>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contextualSpacing/>
        <w:jc w:val="both"/>
        <w:rPr/>
      </w:pPr>
      <w:r>
        <w:rPr>
          <w:rFonts w:cs="Arial"/>
          <w:bCs w:val="false"/>
          <w:sz w:val="22"/>
          <w:szCs w:val="22"/>
        </w:rPr>
        <w:t>INTRODUÇÃO.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 xml:space="preserve">O presente documento trata dos procedimentos e orientações necessárias para contratação de empresa através do ato público de concorrência, objetivando a execução de obras de </w:t>
      </w:r>
      <w:bookmarkStart w:id="0" w:name="__DdeLink__512_1161674635"/>
      <w:bookmarkEnd w:id="0"/>
      <w:r>
        <w:rPr>
          <w:rFonts w:cs="Arial" w:ascii="Arial" w:hAnsi="Arial"/>
          <w:b/>
          <w:color w:val="000000"/>
          <w:szCs w:val="22"/>
        </w:rPr>
        <w:t>REFORMA E AMPLIAÇÃO D</w:t>
      </w:r>
      <w:r>
        <w:rPr>
          <w:rFonts w:cs="Arial" w:ascii="Arial" w:hAnsi="Arial"/>
          <w:b/>
          <w:color w:val="000000"/>
          <w:szCs w:val="22"/>
        </w:rPr>
        <w:t>A ESCOLA BÁSICA MELVIN JONES</w:t>
      </w:r>
      <w:r>
        <w:rPr>
          <w:rFonts w:cs="Arial" w:ascii="Arial" w:hAnsi="Arial"/>
          <w:b/>
          <w:sz w:val="22"/>
          <w:szCs w:val="22"/>
        </w:rPr>
        <w:t xml:space="preserve"> </w:t>
      </w:r>
      <w:r>
        <w:rPr>
          <w:rFonts w:cs="Arial" w:ascii="Arial" w:hAnsi="Arial"/>
          <w:b w:val="false"/>
          <w:bCs w:val="false"/>
          <w:sz w:val="22"/>
          <w:szCs w:val="22"/>
        </w:rPr>
        <w:t>l</w:t>
      </w:r>
      <w:r>
        <w:rPr>
          <w:rFonts w:cs="Arial" w:ascii="Arial" w:hAnsi="Arial"/>
          <w:sz w:val="22"/>
          <w:szCs w:val="22"/>
        </w:rPr>
        <w:t xml:space="preserve">ocalizado na </w:t>
      </w:r>
      <w:r>
        <w:rPr>
          <w:rFonts w:cs="Arial" w:ascii="Arial" w:hAnsi="Arial"/>
          <w:b w:val="false"/>
          <w:i w:val="false"/>
          <w:strike w:val="false"/>
          <w:dstrike w:val="false"/>
          <w:outline w:val="false"/>
          <w:shadow w:val="false"/>
          <w:sz w:val="22"/>
          <w:szCs w:val="22"/>
          <w:u w:val="none"/>
          <w:em w:val="none"/>
        </w:rPr>
        <w:t>Rua Sebasti</w:t>
      </w:r>
      <w:r>
        <w:rPr>
          <w:rFonts w:ascii="Arial" w:hAnsi="Arial"/>
          <w:b w:val="false"/>
          <w:i w:val="false"/>
          <w:strike w:val="false"/>
          <w:dstrike w:val="false"/>
          <w:outline w:val="false"/>
          <w:shadow w:val="false"/>
          <w:sz w:val="22"/>
          <w:szCs w:val="22"/>
          <w:u w:val="none"/>
          <w:em w:val="none"/>
        </w:rPr>
        <w:t>ão Romeu Soares</w:t>
      </w:r>
      <w:r>
        <w:rPr>
          <w:rFonts w:cs="Arial" w:ascii="Arial" w:hAnsi="Arial"/>
          <w:b w:val="false"/>
          <w:i w:val="false"/>
          <w:strike w:val="false"/>
          <w:dstrike w:val="false"/>
          <w:outline w:val="false"/>
          <w:shadow w:val="false"/>
          <w:sz w:val="22"/>
          <w:szCs w:val="22"/>
          <w:u w:val="none"/>
          <w:em w:val="none"/>
        </w:rPr>
        <w:t>, N</w:t>
      </w:r>
      <w:r>
        <w:rPr>
          <w:rFonts w:ascii="Arial" w:hAnsi="Arial"/>
          <w:b w:val="false"/>
          <w:i w:val="false"/>
          <w:strike w:val="false"/>
          <w:dstrike w:val="false"/>
          <w:outline w:val="false"/>
          <w:shadow w:val="false"/>
          <w:sz w:val="22"/>
          <w:szCs w:val="22"/>
          <w:u w:val="none"/>
          <w:em w:val="none"/>
        </w:rPr>
        <w:t xml:space="preserve">º </w:t>
      </w:r>
      <w:r>
        <w:rPr>
          <w:rFonts w:ascii="Arial" w:hAnsi="Arial"/>
          <w:b w:val="false"/>
          <w:i w:val="false"/>
          <w:strike w:val="false"/>
          <w:dstrike w:val="false"/>
          <w:outline w:val="false"/>
          <w:shadow w:val="false"/>
          <w:sz w:val="22"/>
          <w:szCs w:val="22"/>
          <w:u w:val="none"/>
          <w:em w:val="none"/>
        </w:rPr>
        <w:t>640</w:t>
      </w:r>
      <w:r>
        <w:rPr>
          <w:rFonts w:ascii="Arial" w:hAnsi="Arial"/>
          <w:b w:val="false"/>
          <w:i w:val="false"/>
          <w:strike w:val="false"/>
          <w:dstrike w:val="false"/>
          <w:outline w:val="false"/>
          <w:shadow w:val="false"/>
          <w:sz w:val="22"/>
          <w:szCs w:val="22"/>
          <w:u w:val="none"/>
          <w:em w:val="none"/>
        </w:rPr>
        <w:t>, Cordeiros, Itajaí – SC</w:t>
      </w:r>
      <w:r>
        <w:rPr>
          <w:rFonts w:cs="Arial" w:ascii="Arial" w:hAnsi="Arial"/>
          <w:b w:val="false"/>
          <w:i w:val="false"/>
          <w:strike w:val="false"/>
          <w:dstrike w:val="false"/>
          <w:outline w:val="false"/>
          <w:shadow w:val="false"/>
          <w:sz w:val="22"/>
          <w:szCs w:val="22"/>
          <w:u w:val="none"/>
          <w:em w:val="none"/>
        </w:rPr>
        <w:t>.</w:t>
      </w:r>
    </w:p>
    <w:tbl>
      <w:tblPr>
        <w:tblW w:w="7282" w:type="dxa"/>
        <w:jc w:val="center"/>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0" w:type="dxa"/>
          <w:bottom w:w="0" w:type="dxa"/>
          <w:right w:w="108" w:type="dxa"/>
        </w:tblCellMar>
        <w:tblLook w:firstRow="1" w:noVBand="1" w:lastRow="0" w:firstColumn="1" w:lastColumn="0" w:noHBand="0" w:val="04a0"/>
      </w:tblPr>
      <w:tblGrid>
        <w:gridCol w:w="4766"/>
        <w:gridCol w:w="2515"/>
      </w:tblGrid>
      <w:tr>
        <w:trPr>
          <w:trHeight w:val="399" w:hRule="atLeast"/>
        </w:trPr>
        <w:tc>
          <w:tcPr>
            <w:tcW w:w="7281" w:type="dxa"/>
            <w:gridSpan w:val="2"/>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vAlign w:val="center"/>
          </w:tcPr>
          <w:p>
            <w:pPr>
              <w:pStyle w:val="Normal"/>
              <w:tabs>
                <w:tab w:val="left" w:pos="851" w:leader="none"/>
              </w:tabs>
              <w:spacing w:lineRule="auto" w:line="276" w:before="0" w:after="120"/>
              <w:jc w:val="center"/>
              <w:rPr/>
            </w:pPr>
            <w:r>
              <w:rPr>
                <w:rFonts w:cs="Arial" w:ascii="Arial" w:hAnsi="Arial"/>
                <w:b/>
                <w:bCs/>
                <w:sz w:val="22"/>
                <w:szCs w:val="22"/>
              </w:rPr>
              <w:t>QUADRO DE ÁREAS</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vAlign w:val="center"/>
          </w:tcPr>
          <w:p>
            <w:pPr>
              <w:pStyle w:val="Normal"/>
              <w:tabs>
                <w:tab w:val="left" w:pos="851" w:leader="none"/>
              </w:tabs>
              <w:spacing w:lineRule="auto" w:line="276" w:before="0" w:after="120"/>
              <w:jc w:val="both"/>
              <w:rPr/>
            </w:pPr>
            <w:r>
              <w:rPr>
                <w:rFonts w:cs="Arial" w:ascii="Arial" w:hAnsi="Arial"/>
                <w:sz w:val="22"/>
                <w:szCs w:val="22"/>
              </w:rPr>
              <w:t>Área a reformar</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vAlign w:val="center"/>
          </w:tcPr>
          <w:p>
            <w:pPr>
              <w:pStyle w:val="Normal"/>
              <w:tabs>
                <w:tab w:val="left" w:pos="851" w:leader="none"/>
              </w:tabs>
              <w:spacing w:lineRule="auto" w:line="276" w:before="0" w:after="120"/>
              <w:jc w:val="both"/>
              <w:rPr/>
            </w:pPr>
            <w:r>
              <w:rPr>
                <w:rFonts w:cs="Arial" w:ascii="Arial" w:hAnsi="Arial"/>
                <w:sz w:val="22"/>
                <w:szCs w:val="22"/>
              </w:rPr>
              <w:t>4107,06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vAlign w:val="center"/>
          </w:tcPr>
          <w:p>
            <w:pPr>
              <w:pStyle w:val="Normal"/>
              <w:tabs>
                <w:tab w:val="left" w:pos="851" w:leader="none"/>
              </w:tabs>
              <w:spacing w:lineRule="auto" w:line="276" w:before="0" w:after="120"/>
              <w:jc w:val="both"/>
              <w:rPr/>
            </w:pPr>
            <w:r>
              <w:rPr>
                <w:rFonts w:cs="Arial" w:ascii="Arial" w:hAnsi="Arial"/>
                <w:sz w:val="22"/>
                <w:szCs w:val="22"/>
              </w:rPr>
              <w:t>Área a construir</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vAlign w:val="center"/>
          </w:tcPr>
          <w:p>
            <w:pPr>
              <w:pStyle w:val="Normal"/>
              <w:tabs>
                <w:tab w:val="left" w:pos="851" w:leader="none"/>
              </w:tabs>
              <w:spacing w:lineRule="auto" w:line="276" w:before="0" w:after="120"/>
              <w:jc w:val="both"/>
              <w:rPr/>
            </w:pPr>
            <w:r>
              <w:rPr>
                <w:rFonts w:cs="Arial" w:ascii="Arial" w:hAnsi="Arial"/>
                <w:sz w:val="22"/>
                <w:szCs w:val="22"/>
              </w:rPr>
              <w:t>95,79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Pr>
          <w:p>
            <w:pPr>
              <w:pStyle w:val="Normal"/>
              <w:tabs>
                <w:tab w:val="left" w:pos="851" w:leader="none"/>
              </w:tabs>
              <w:spacing w:lineRule="auto" w:line="276" w:before="0" w:after="120"/>
              <w:jc w:val="both"/>
              <w:rPr/>
            </w:pPr>
            <w:r>
              <w:rPr>
                <w:rFonts w:cs="Arial" w:ascii="Arial" w:hAnsi="Arial"/>
                <w:sz w:val="22"/>
                <w:szCs w:val="22"/>
              </w:rPr>
              <w:t>N° de Pavimentos</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Pr>
          <w:p>
            <w:pPr>
              <w:pStyle w:val="Normal"/>
              <w:tabs>
                <w:tab w:val="left" w:pos="851" w:leader="none"/>
              </w:tabs>
              <w:spacing w:lineRule="auto" w:line="276" w:before="0" w:after="120"/>
              <w:jc w:val="both"/>
              <w:rPr/>
            </w:pPr>
            <w:r>
              <w:rPr>
                <w:rFonts w:cs="Arial" w:ascii="Arial" w:hAnsi="Arial"/>
                <w:sz w:val="22"/>
                <w:szCs w:val="22"/>
              </w:rPr>
              <w:t>3 pavimentos</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contextualSpacing/>
        <w:jc w:val="both"/>
        <w:rPr/>
      </w:pPr>
      <w:r>
        <w:rPr>
          <w:rFonts w:cs="Arial"/>
          <w:bCs w:val="false"/>
          <w:sz w:val="22"/>
          <w:szCs w:val="22"/>
        </w:rPr>
        <w:t>JUSTIFICATIVA.</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ind w:firstLine="708"/>
        <w:jc w:val="both"/>
        <w:rPr/>
      </w:pPr>
      <w:r>
        <w:rPr>
          <w:rFonts w:cs="Arial" w:ascii="Arial" w:hAnsi="Arial"/>
          <w:sz w:val="22"/>
          <w:szCs w:val="22"/>
        </w:rPr>
        <w:t>O edifício onde está instalada a Escola Básica Melvin Jones necessita de reforma devido ao desgaste do tempo, além da utilização e grande fluxo de alunos na unidade e ampliada uma sala para aulas de informática.</w:t>
      </w:r>
    </w:p>
    <w:p>
      <w:pPr>
        <w:pStyle w:val="Normal"/>
        <w:tabs>
          <w:tab w:val="left" w:pos="851" w:leader="none"/>
        </w:tabs>
        <w:spacing w:lineRule="auto" w:line="276" w:before="0" w:after="120"/>
        <w:ind w:firstLine="708"/>
        <w:jc w:val="both"/>
        <w:rPr/>
      </w:pPr>
      <w:r>
        <w:rPr>
          <w:rFonts w:cs="Arial" w:ascii="Arial" w:hAnsi="Arial"/>
          <w:sz w:val="22"/>
          <w:szCs w:val="22"/>
        </w:rPr>
        <w:t>A unidade escolar será pintada em sua totalidade.</w:t>
      </w:r>
    </w:p>
    <w:p>
      <w:pPr>
        <w:pStyle w:val="Normal"/>
        <w:tabs>
          <w:tab w:val="left" w:pos="851" w:leader="none"/>
        </w:tabs>
        <w:spacing w:lineRule="auto" w:line="276" w:before="0" w:after="120"/>
        <w:ind w:firstLine="708"/>
        <w:jc w:val="both"/>
        <w:rPr/>
      </w:pPr>
      <w:r>
        <w:rPr>
          <w:rFonts w:cs="Arial" w:ascii="Arial" w:hAnsi="Arial"/>
          <w:sz w:val="22"/>
          <w:szCs w:val="22"/>
        </w:rPr>
        <w:t xml:space="preserve">Na área a ser ampliada será construída 1 (uma) sala nova na parte frontal do terreno, adjacente ao muro. </w:t>
      </w:r>
    </w:p>
    <w:p>
      <w:pPr>
        <w:pStyle w:val="Normal"/>
        <w:tabs>
          <w:tab w:val="left" w:pos="851" w:leader="none"/>
        </w:tabs>
        <w:spacing w:lineRule="auto" w:line="276" w:before="0" w:after="120"/>
        <w:ind w:right="-89" w:firstLine="708"/>
        <w:jc w:val="both"/>
        <w:rPr/>
      </w:pPr>
      <w:r>
        <w:rPr>
          <w:rFonts w:cs="Arial" w:ascii="Arial" w:hAnsi="Arial"/>
          <w:sz w:val="22"/>
          <w:szCs w:val="22"/>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pPr>
        <w:pStyle w:val="Normal"/>
        <w:tabs>
          <w:tab w:val="left" w:pos="851" w:leader="none"/>
        </w:tabs>
        <w:spacing w:lineRule="auto" w:line="276" w:before="0" w:after="120"/>
        <w:ind w:firstLine="708"/>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0" w:leader="none"/>
          <w:tab w:val="left" w:pos="851" w:leader="none"/>
        </w:tabs>
        <w:suppressAutoHyphens w:val="false"/>
        <w:spacing w:lineRule="auto" w:line="276" w:before="0" w:after="0"/>
        <w:ind w:left="0" w:hanging="0"/>
        <w:contextualSpacing/>
        <w:jc w:val="both"/>
        <w:rPr>
          <w:rFonts w:cs="Arial"/>
          <w:bCs w:val="false"/>
          <w:sz w:val="22"/>
          <w:szCs w:val="22"/>
        </w:rPr>
      </w:pPr>
      <w:r>
        <w:rPr>
          <w:rFonts w:cs="Arial"/>
          <w:bCs w:val="false"/>
          <w:sz w:val="22"/>
          <w:szCs w:val="22"/>
        </w:rPr>
        <w:t>OBJETO.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 xml:space="preserve">Esta licitação modalidade </w:t>
      </w:r>
      <w:r>
        <w:rPr>
          <w:rFonts w:cs="Arial" w:ascii="Arial" w:hAnsi="Arial"/>
          <w:b/>
          <w:color w:val="00000A"/>
          <w:sz w:val="22"/>
          <w:szCs w:val="22"/>
        </w:rPr>
        <w:t>TOMADA DE PREÇO</w:t>
      </w:r>
      <w:r>
        <w:rPr>
          <w:rFonts w:cs="Arial" w:ascii="Arial" w:hAnsi="Arial"/>
          <w:sz w:val="22"/>
          <w:szCs w:val="22"/>
        </w:rPr>
        <w:t>, tem por objeto a contratação de empresa para:</w:t>
      </w:r>
    </w:p>
    <w:p>
      <w:pPr>
        <w:pStyle w:val="Normal"/>
        <w:widowControl/>
        <w:tabs>
          <w:tab w:val="left" w:pos="851" w:leader="none"/>
        </w:tabs>
        <w:suppressAutoHyphens w:val="false"/>
        <w:spacing w:lineRule="auto" w:line="276" w:before="0" w:after="120"/>
        <w:ind w:left="1567" w:hanging="0"/>
        <w:jc w:val="both"/>
        <w:rPr>
          <w:rFonts w:ascii="Arial" w:hAnsi="Arial" w:cs="Arial"/>
          <w:sz w:val="22"/>
          <w:szCs w:val="22"/>
        </w:rPr>
      </w:pPr>
      <w:r>
        <w:rPr>
          <w:rFonts w:cs="Arial" w:ascii="Arial" w:hAnsi="Arial"/>
          <w:sz w:val="22"/>
          <w:szCs w:val="22"/>
        </w:rPr>
      </w:r>
    </w:p>
    <w:tbl>
      <w:tblPr>
        <w:tblW w:w="8445" w:type="dxa"/>
        <w:jc w:val="left"/>
        <w:tblInd w:w="21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 w:type="dxa"/>
          <w:bottom w:w="0" w:type="dxa"/>
          <w:right w:w="70" w:type="dxa"/>
        </w:tblCellMar>
        <w:tblLook w:firstRow="0" w:noVBand="0" w:lastRow="0" w:firstColumn="0" w:lastColumn="0" w:noHBand="0" w:val="0000"/>
      </w:tblPr>
      <w:tblGrid>
        <w:gridCol w:w="8445"/>
      </w:tblGrid>
      <w:tr>
        <w:trPr/>
        <w:tc>
          <w:tcPr>
            <w:tcW w:w="84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C0C0C0" w:val="clear"/>
            <w:vAlign w:val="center"/>
          </w:tcPr>
          <w:p>
            <w:pPr>
              <w:pStyle w:val="BodyText3"/>
              <w:tabs>
                <w:tab w:val="left" w:pos="851" w:leader="none"/>
              </w:tabs>
              <w:spacing w:lineRule="auto" w:line="276" w:before="0" w:after="120"/>
              <w:jc w:val="center"/>
              <w:rPr>
                <w:rFonts w:ascii="Arial" w:hAnsi="Arial" w:cs="Arial"/>
                <w:b/>
                <w:b/>
                <w:sz w:val="22"/>
                <w:szCs w:val="22"/>
              </w:rPr>
            </w:pPr>
            <w:r>
              <w:rPr>
                <w:rFonts w:cs="Arial" w:ascii="Arial" w:hAnsi="Arial"/>
                <w:b/>
                <w:sz w:val="22"/>
                <w:szCs w:val="22"/>
              </w:rPr>
              <w:t>Descrição</w:t>
            </w:r>
          </w:p>
        </w:tc>
      </w:tr>
      <w:tr>
        <w:trPr>
          <w:trHeight w:val="862" w:hRule="atLeast"/>
        </w:trPr>
        <w:tc>
          <w:tcPr>
            <w:tcW w:w="84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tabs>
                <w:tab w:val="left" w:pos="851" w:leader="none"/>
              </w:tabs>
              <w:spacing w:lineRule="auto" w:line="276" w:before="0" w:after="120"/>
              <w:jc w:val="center"/>
              <w:rPr/>
            </w:pPr>
            <w:r>
              <w:rPr>
                <w:rFonts w:cs="Arial" w:ascii="Arial" w:hAnsi="Arial"/>
                <w:b/>
                <w:color w:val="000000"/>
                <w:szCs w:val="22"/>
              </w:rPr>
              <w:t>REFORMA E AMPLIAÇÃO D</w:t>
            </w:r>
            <w:r>
              <w:rPr>
                <w:rFonts w:cs="Arial" w:ascii="Arial" w:hAnsi="Arial"/>
                <w:b/>
                <w:color w:val="000000"/>
                <w:szCs w:val="22"/>
              </w:rPr>
              <w:t>A ESCOLA BÁSICA MELVIN JONES</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0" w:leader="none"/>
          <w:tab w:val="left" w:pos="851" w:leader="none"/>
        </w:tabs>
        <w:suppressAutoHyphens w:val="false"/>
        <w:spacing w:lineRule="auto" w:line="276" w:before="0" w:after="0"/>
        <w:ind w:left="0" w:hanging="0"/>
        <w:contextualSpacing/>
        <w:jc w:val="both"/>
        <w:rPr>
          <w:rFonts w:cs="Arial"/>
          <w:bCs w:val="false"/>
          <w:sz w:val="22"/>
          <w:szCs w:val="22"/>
        </w:rPr>
      </w:pPr>
      <w:bookmarkStart w:id="1" w:name="_Toc176847474"/>
      <w:bookmarkStart w:id="2" w:name="_Toc176842601"/>
      <w:bookmarkStart w:id="3" w:name="_Toc176842531"/>
      <w:bookmarkStart w:id="4" w:name="_Toc176842489"/>
      <w:bookmarkEnd w:id="1"/>
      <w:bookmarkEnd w:id="2"/>
      <w:bookmarkEnd w:id="3"/>
      <w:bookmarkEnd w:id="4"/>
      <w:r>
        <w:rPr>
          <w:rFonts w:cs="Arial"/>
          <w:bCs w:val="false"/>
          <w:sz w:val="22"/>
          <w:szCs w:val="22"/>
        </w:rPr>
        <w:t>ANEXOS.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Fazem parte integrante e indissociável deste edital:</w:t>
      </w:r>
    </w:p>
    <w:p>
      <w:pPr>
        <w:pStyle w:val="Normal"/>
        <w:tabs>
          <w:tab w:val="left" w:pos="851" w:leader="none"/>
        </w:tabs>
        <w:spacing w:lineRule="auto" w:line="276"/>
        <w:jc w:val="both"/>
        <w:rPr/>
      </w:pPr>
      <w:r>
        <w:rPr>
          <w:rFonts w:cs="Arial" w:ascii="Arial" w:hAnsi="Arial"/>
          <w:sz w:val="22"/>
          <w:szCs w:val="22"/>
        </w:rPr>
        <w:t xml:space="preserve"> – </w:t>
      </w:r>
      <w:r>
        <w:rPr>
          <w:rFonts w:cs="Arial" w:ascii="Arial" w:hAnsi="Arial"/>
          <w:sz w:val="22"/>
          <w:szCs w:val="22"/>
        </w:rPr>
        <w:t>Planilha Orçamentária</w:t>
      </w:r>
    </w:p>
    <w:p>
      <w:pPr>
        <w:pStyle w:val="Normal"/>
        <w:tabs>
          <w:tab w:val="left" w:pos="851" w:leader="none"/>
        </w:tabs>
        <w:spacing w:lineRule="auto" w:line="276"/>
        <w:jc w:val="both"/>
        <w:rPr/>
      </w:pPr>
      <w:r>
        <w:rPr>
          <w:rFonts w:cs="Arial" w:ascii="Arial" w:hAnsi="Arial"/>
          <w:sz w:val="22"/>
          <w:szCs w:val="22"/>
        </w:rPr>
        <w:t xml:space="preserve"> – </w:t>
      </w:r>
      <w:r>
        <w:rPr>
          <w:rFonts w:cs="Arial" w:ascii="Arial" w:hAnsi="Arial"/>
          <w:sz w:val="22"/>
          <w:szCs w:val="22"/>
        </w:rPr>
        <w:t>Cronograma Físico-Financeiro</w:t>
      </w:r>
    </w:p>
    <w:p>
      <w:pPr>
        <w:pStyle w:val="Normal"/>
        <w:tabs>
          <w:tab w:val="left" w:pos="851" w:leader="none"/>
        </w:tabs>
        <w:spacing w:lineRule="auto" w:line="276"/>
        <w:jc w:val="both"/>
        <w:rPr/>
      </w:pPr>
      <w:r>
        <w:rPr>
          <w:rFonts w:cs="Arial" w:ascii="Arial" w:hAnsi="Arial"/>
          <w:sz w:val="22"/>
          <w:szCs w:val="22"/>
        </w:rPr>
        <w:t xml:space="preserve"> – </w:t>
      </w:r>
      <w:r>
        <w:rPr>
          <w:rFonts w:cs="Arial" w:ascii="Arial" w:hAnsi="Arial"/>
          <w:sz w:val="22"/>
          <w:szCs w:val="22"/>
        </w:rPr>
        <w:t>Memorial Descritivo</w:t>
      </w:r>
    </w:p>
    <w:p>
      <w:pPr>
        <w:pStyle w:val="Normal"/>
        <w:tabs>
          <w:tab w:val="left" w:pos="851" w:leader="none"/>
        </w:tabs>
        <w:spacing w:lineRule="auto" w:line="276"/>
        <w:jc w:val="both"/>
        <w:rPr/>
      </w:pPr>
      <w:r>
        <w:rPr>
          <w:rFonts w:cs="Arial" w:ascii="Arial" w:hAnsi="Arial"/>
          <w:sz w:val="22"/>
          <w:szCs w:val="22"/>
        </w:rPr>
        <w:t xml:space="preserve"> – </w:t>
      </w:r>
      <w:r>
        <w:rPr>
          <w:rFonts w:cs="Arial" w:ascii="Arial" w:hAnsi="Arial"/>
          <w:sz w:val="22"/>
          <w:szCs w:val="22"/>
        </w:rPr>
        <w:t>Projeto e Desenhos Técnicos</w:t>
      </w:r>
    </w:p>
    <w:p>
      <w:pPr>
        <w:pStyle w:val="Normal"/>
        <w:tabs>
          <w:tab w:val="left" w:pos="851" w:leader="none"/>
        </w:tabs>
        <w:spacing w:lineRule="auto" w:line="276"/>
        <w:jc w:val="both"/>
        <w:rPr/>
      </w:pPr>
      <w:r>
        <w:rPr>
          <w:rFonts w:cs="Arial" w:ascii="Arial" w:hAnsi="Arial"/>
          <w:sz w:val="22"/>
          <w:szCs w:val="22"/>
        </w:rPr>
        <w:t xml:space="preserve"> – </w:t>
      </w:r>
      <w:r>
        <w:rPr>
          <w:rFonts w:cs="Arial" w:ascii="Arial" w:hAnsi="Arial"/>
          <w:sz w:val="22"/>
          <w:szCs w:val="22"/>
        </w:rPr>
        <w:t>Modelo Genérico Diário de Obras</w:t>
      </w:r>
    </w:p>
    <w:p>
      <w:pPr>
        <w:pStyle w:val="Normal"/>
        <w:tabs>
          <w:tab w:val="left" w:pos="851" w:leader="none"/>
        </w:tabs>
        <w:spacing w:lineRule="auto" w:line="276"/>
        <w:jc w:val="both"/>
        <w:rPr/>
      </w:pPr>
      <w:r>
        <w:rPr>
          <w:rFonts w:cs="Arial" w:ascii="Arial" w:hAnsi="Arial"/>
          <w:sz w:val="22"/>
          <w:szCs w:val="22"/>
        </w:rPr>
        <w:t xml:space="preserve"> – </w:t>
      </w:r>
      <w:r>
        <w:rPr>
          <w:rFonts w:cs="Arial" w:ascii="Arial" w:hAnsi="Arial"/>
          <w:sz w:val="22"/>
          <w:szCs w:val="22"/>
        </w:rPr>
        <w:t>Modelo Genérico Placa de Obra Municipal</w:t>
      </w:r>
    </w:p>
    <w:p>
      <w:pPr>
        <w:pStyle w:val="Normal"/>
        <w:tabs>
          <w:tab w:val="left" w:pos="851" w:leader="none"/>
          <w:tab w:val="left" w:pos="3418" w:leader="none"/>
        </w:tabs>
        <w:spacing w:lineRule="auto" w:line="276" w:before="0" w:after="120"/>
        <w:jc w:val="both"/>
        <w:rPr>
          <w:rFonts w:ascii="Arial" w:hAnsi="Arial" w:cs="Arial"/>
          <w:sz w:val="22"/>
          <w:szCs w:val="22"/>
        </w:rPr>
      </w:pPr>
      <w:r>
        <w:rPr>
          <w:rFonts w:cs="Arial" w:ascii="Arial" w:hAnsi="Arial"/>
          <w:sz w:val="22"/>
          <w:szCs w:val="22"/>
        </w:rPr>
        <w:tab/>
      </w:r>
    </w:p>
    <w:p>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0" w:leader="none"/>
          <w:tab w:val="left" w:pos="851" w:leader="none"/>
        </w:tabs>
        <w:suppressAutoHyphens w:val="false"/>
        <w:spacing w:lineRule="auto" w:line="276" w:before="0" w:after="0"/>
        <w:ind w:left="0" w:hanging="0"/>
        <w:contextualSpacing/>
        <w:jc w:val="both"/>
        <w:rPr>
          <w:rFonts w:cs="Arial"/>
          <w:bCs w:val="false"/>
          <w:sz w:val="22"/>
          <w:szCs w:val="22"/>
        </w:rPr>
      </w:pPr>
      <w:r>
        <w:rPr>
          <w:rFonts w:cs="Arial"/>
          <w:bCs w:val="false"/>
          <w:sz w:val="22"/>
          <w:szCs w:val="22"/>
        </w:rPr>
        <w:t>DOTAÇÃO ORÇAMENTÁRIA.</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pPr>
      <w:r>
        <w:rPr>
          <w:rFonts w:cs="Arial" w:ascii="Arial" w:hAnsi="Arial"/>
          <w:bCs/>
          <w:sz w:val="22"/>
          <w:szCs w:val="22"/>
        </w:rPr>
        <w:t xml:space="preserve">5.1. Os recursos orçamentários necessários à execução do presente objeto serão de </w:t>
      </w:r>
      <w:r>
        <w:rPr>
          <w:rFonts w:cs="Arial" w:ascii="Arial" w:hAnsi="Arial"/>
          <w:b/>
          <w:bCs/>
          <w:sz w:val="22"/>
          <w:szCs w:val="22"/>
        </w:rPr>
        <w:t xml:space="preserve">R$ </w:t>
      </w:r>
      <w:r>
        <w:rPr>
          <w:rFonts w:cs="Arial" w:ascii="Arial" w:hAnsi="Arial"/>
          <w:b/>
          <w:bCs/>
          <w:sz w:val="22"/>
          <w:szCs w:val="22"/>
        </w:rPr>
        <w:t>595</w:t>
      </w:r>
      <w:r>
        <w:rPr>
          <w:rFonts w:cs="Arial" w:ascii="Arial" w:hAnsi="Arial"/>
          <w:b/>
          <w:bCs/>
          <w:sz w:val="22"/>
          <w:szCs w:val="22"/>
        </w:rPr>
        <w:t>.</w:t>
      </w:r>
      <w:r>
        <w:rPr>
          <w:rFonts w:cs="Arial" w:ascii="Arial" w:hAnsi="Arial"/>
          <w:b/>
          <w:bCs/>
          <w:sz w:val="22"/>
          <w:szCs w:val="22"/>
        </w:rPr>
        <w:t>147</w:t>
      </w:r>
      <w:r>
        <w:rPr>
          <w:rFonts w:cs="Arial" w:ascii="Arial" w:hAnsi="Arial"/>
          <w:b/>
          <w:bCs/>
          <w:sz w:val="22"/>
          <w:szCs w:val="22"/>
        </w:rPr>
        <w:t>,</w:t>
      </w:r>
      <w:r>
        <w:rPr>
          <w:rFonts w:cs="Arial" w:ascii="Arial" w:hAnsi="Arial"/>
          <w:b/>
          <w:bCs/>
          <w:sz w:val="22"/>
          <w:szCs w:val="22"/>
        </w:rPr>
        <w:t>79</w:t>
      </w:r>
      <w:r>
        <w:rPr>
          <w:rFonts w:cs="Arial" w:ascii="Arial" w:hAnsi="Arial"/>
          <w:b/>
          <w:bCs/>
          <w:sz w:val="22"/>
          <w:szCs w:val="22"/>
        </w:rPr>
        <w:t xml:space="preserve"> </w:t>
      </w:r>
      <w:r>
        <w:rPr>
          <w:rFonts w:cs="Arial" w:ascii="Arial" w:hAnsi="Arial"/>
          <w:bCs/>
          <w:sz w:val="22"/>
          <w:szCs w:val="22"/>
        </w:rPr>
        <w:t>(</w:t>
      </w:r>
      <w:r>
        <w:rPr>
          <w:rFonts w:cs="Arial" w:ascii="Arial" w:hAnsi="Arial"/>
          <w:bCs/>
          <w:sz w:val="22"/>
          <w:szCs w:val="22"/>
        </w:rPr>
        <w:t>Quinhentos e noventa e cinco</w:t>
      </w:r>
      <w:r>
        <w:rPr>
          <w:rFonts w:cs="Arial" w:ascii="Arial" w:hAnsi="Arial"/>
          <w:bCs/>
          <w:sz w:val="22"/>
          <w:szCs w:val="22"/>
        </w:rPr>
        <w:t xml:space="preserve"> mil, </w:t>
      </w:r>
      <w:r>
        <w:rPr>
          <w:rFonts w:cs="Arial" w:ascii="Arial" w:hAnsi="Arial"/>
          <w:bCs/>
          <w:sz w:val="22"/>
          <w:szCs w:val="22"/>
        </w:rPr>
        <w:t>cento e quarenta e sete</w:t>
      </w:r>
      <w:r>
        <w:rPr>
          <w:rFonts w:cs="Arial" w:ascii="Arial" w:hAnsi="Arial"/>
          <w:bCs/>
          <w:sz w:val="22"/>
          <w:szCs w:val="22"/>
        </w:rPr>
        <w:t xml:space="preserve"> reais e </w:t>
      </w:r>
      <w:r>
        <w:rPr>
          <w:rFonts w:cs="Arial" w:ascii="Arial" w:hAnsi="Arial"/>
          <w:bCs/>
          <w:sz w:val="22"/>
          <w:szCs w:val="22"/>
        </w:rPr>
        <w:t>setenta e nove</w:t>
      </w:r>
      <w:r>
        <w:rPr>
          <w:rFonts w:cs="Arial" w:ascii="Arial" w:hAnsi="Arial"/>
          <w:bCs/>
          <w:sz w:val="22"/>
          <w:szCs w:val="22"/>
        </w:rPr>
        <w:t xml:space="preserve"> centavos), os quais correrão por conta do exercício orçamentário do ano de </w:t>
      </w:r>
      <w:r>
        <w:rPr>
          <w:rFonts w:cs="Arial" w:ascii="Arial" w:hAnsi="Arial"/>
          <w:bCs/>
          <w:sz w:val="22"/>
          <w:szCs w:val="22"/>
        </w:rPr>
        <w:t>2020</w:t>
      </w:r>
      <w:r>
        <w:rPr>
          <w:rFonts w:cs="Arial" w:ascii="Arial" w:hAnsi="Arial"/>
          <w:bCs/>
          <w:sz w:val="22"/>
          <w:szCs w:val="22"/>
        </w:rPr>
        <w:t xml:space="preserve"> a ser determinada pela Secretaria Municipal de Educação e </w:t>
      </w:r>
      <w:r>
        <w:rPr>
          <w:rFonts w:cs="Arial" w:ascii="Arial" w:hAnsi="Arial"/>
          <w:b/>
          <w:bCs/>
          <w:sz w:val="22"/>
          <w:szCs w:val="22"/>
        </w:rPr>
        <w:t>sendo 100% de Recursos Próprios Municipais</w:t>
      </w:r>
      <w:r>
        <w:rPr>
          <w:rFonts w:cs="Arial" w:ascii="Arial" w:hAnsi="Arial"/>
          <w:bCs/>
          <w:sz w:val="22"/>
          <w:szCs w:val="22"/>
        </w:rPr>
        <w:t>.</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contextualSpacing/>
        <w:jc w:val="both"/>
        <w:rPr/>
      </w:pPr>
      <w:r>
        <w:rPr>
          <w:rFonts w:cs="Arial"/>
          <w:bCs w:val="false"/>
          <w:sz w:val="22"/>
          <w:szCs w:val="22"/>
        </w:rPr>
        <w:t>CONDIÇÕES DE PARTICIPAÇÃO.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Pr>
          <w:rFonts w:cs="Arial" w:ascii="Arial" w:hAnsi="Arial"/>
          <w:b/>
          <w:sz w:val="22"/>
          <w:szCs w:val="22"/>
        </w:rPr>
        <w:t>PROPOSTA DE MENOR PREÇO GLOBAL</w:t>
      </w:r>
      <w:r>
        <w:rPr>
          <w:rFonts w:cs="Arial" w:ascii="Arial" w:hAnsi="Arial"/>
          <w:sz w:val="22"/>
          <w:szCs w:val="22"/>
        </w:rPr>
        <w:t xml:space="preserve"> para o Município de Itajaí conforme </w:t>
      </w:r>
      <w:r>
        <w:rPr>
          <w:rFonts w:cs="Arial" w:ascii="Arial" w:hAnsi="Arial"/>
          <w:b/>
          <w:sz w:val="22"/>
          <w:szCs w:val="22"/>
        </w:rPr>
        <w:t>REGIME DE EMPREITADA POR PREÇO UNITÁRIO</w:t>
      </w:r>
      <w:r>
        <w:rPr>
          <w:rFonts w:cs="Arial" w:ascii="Arial" w:hAnsi="Arial"/>
          <w:bCs/>
          <w:sz w:val="22"/>
          <w:szCs w:val="22"/>
        </w:rPr>
        <w:t>.</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pPr>
        <w:pStyle w:val="Normal"/>
        <w:widowControl/>
        <w:numPr>
          <w:ilvl w:val="1"/>
          <w:numId w:val="1"/>
        </w:numPr>
        <w:tabs>
          <w:tab w:val="left" w:pos="851" w:leader="none"/>
          <w:tab w:val="left" w:pos="1440" w:leader="none"/>
        </w:tabs>
        <w:suppressAutoHyphens w:val="false"/>
        <w:bidi w:val="0"/>
        <w:spacing w:lineRule="auto" w:line="276" w:before="0" w:after="120"/>
        <w:ind w:left="0" w:right="0" w:hanging="0"/>
        <w:jc w:val="both"/>
        <w:rPr/>
      </w:pPr>
      <w:r>
        <w:rPr>
          <w:rFonts w:cs="Arial" w:ascii="Arial" w:hAnsi="Arial"/>
          <w:sz w:val="22"/>
          <w:szCs w:val="22"/>
        </w:rPr>
        <w:t xml:space="preserve">Será permitida a </w:t>
      </w:r>
      <w:r>
        <w:rPr>
          <w:rFonts w:cs="Arial" w:ascii="Arial" w:hAnsi="Arial"/>
          <w:b/>
          <w:sz w:val="22"/>
          <w:szCs w:val="22"/>
        </w:rPr>
        <w:t>SUBCONTRATAÇÃO</w:t>
      </w:r>
      <w:r>
        <w:rPr>
          <w:rFonts w:cs="Arial" w:ascii="Arial" w:hAnsi="Arial"/>
          <w:sz w:val="22"/>
          <w:szCs w:val="22"/>
        </w:rPr>
        <w:t xml:space="preserve"> dos serviços de: Aterro, Infra-Estrutura, Esquadrias, Bancadas e Divisórias, Instalação Elétricas, Hidráulicas e Lógicas, Instalações de Combate e Prevenção de Incêndio,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pPr>
        <w:pStyle w:val="Normal"/>
        <w:widowControl/>
        <w:numPr>
          <w:ilvl w:val="1"/>
          <w:numId w:val="1"/>
        </w:numPr>
        <w:tabs>
          <w:tab w:val="left" w:pos="851" w:leader="none"/>
        </w:tabs>
        <w:suppressAutoHyphens w:val="false"/>
        <w:bidi w:val="0"/>
        <w:spacing w:lineRule="auto" w:line="276" w:before="0" w:after="120"/>
        <w:ind w:left="0" w:right="0" w:hanging="0"/>
        <w:jc w:val="both"/>
        <w:rPr/>
      </w:pPr>
      <w:r>
        <w:rPr>
          <w:rFonts w:cs="Arial" w:ascii="Arial" w:hAnsi="Arial"/>
          <w:sz w:val="22"/>
          <w:szCs w:val="22"/>
        </w:rPr>
        <w:t>A proponente deverá comprovar o capital mínimo ou o valor do patrimônio líquido no valor de 10 % do valor da obra, conforme o art. 31 da Lei 8.666/93.</w:t>
      </w:r>
    </w:p>
    <w:p>
      <w:pPr>
        <w:pStyle w:val="Normal"/>
        <w:widowControl/>
        <w:numPr>
          <w:ilvl w:val="1"/>
          <w:numId w:val="1"/>
        </w:numPr>
        <w:tabs>
          <w:tab w:val="left" w:pos="851" w:leader="none"/>
          <w:tab w:val="left" w:pos="1440" w:leader="none"/>
        </w:tabs>
        <w:suppressAutoHyphens w:val="false"/>
        <w:bidi w:val="0"/>
        <w:spacing w:lineRule="auto" w:line="276" w:before="0" w:after="120"/>
        <w:ind w:left="0" w:right="0" w:hanging="0"/>
        <w:jc w:val="both"/>
        <w:rPr/>
      </w:pPr>
      <w:r>
        <w:rPr>
          <w:rFonts w:cs="Arial" w:ascii="Arial" w:hAnsi="Arial"/>
          <w:sz w:val="22"/>
          <w:szCs w:val="22"/>
        </w:rPr>
        <w:t xml:space="preserve">Ficará a cargo da empresa contratada, apresentar posteriormente ao recebimento da </w:t>
      </w:r>
      <w:r>
        <w:rPr>
          <w:rFonts w:cs="Arial" w:ascii="Arial" w:hAnsi="Arial"/>
          <w:b/>
          <w:sz w:val="22"/>
          <w:szCs w:val="22"/>
        </w:rPr>
        <w:t>Ordem de Serviço (O.S.)</w:t>
      </w:r>
      <w:r>
        <w:rPr>
          <w:rFonts w:cs="Arial" w:ascii="Arial" w:hAnsi="Arial"/>
          <w:sz w:val="22"/>
          <w:szCs w:val="22"/>
        </w:rPr>
        <w:t xml:space="preserve"> um </w:t>
      </w:r>
      <w:r>
        <w:rPr>
          <w:rFonts w:cs="Arial" w:ascii="Arial" w:hAnsi="Arial"/>
          <w:b/>
          <w:sz w:val="22"/>
          <w:szCs w:val="22"/>
        </w:rPr>
        <w:t>PLANO ESTRATÉGICO DE EXECUÇÃO DE OBRAS</w:t>
      </w:r>
      <w:r>
        <w:rPr>
          <w:rFonts w:cs="Arial" w:ascii="Arial" w:hAnsi="Arial"/>
          <w:sz w:val="22"/>
          <w:szCs w:val="22"/>
        </w:rPr>
        <w:t>, que será submetido à fiscalização, esta aprovará ou não a proposta de trabalho emitida pela contratada.</w:t>
      </w:r>
    </w:p>
    <w:p>
      <w:pPr>
        <w:pStyle w:val="Normal"/>
        <w:widowControl/>
        <w:numPr>
          <w:ilvl w:val="1"/>
          <w:numId w:val="1"/>
        </w:numPr>
        <w:tabs>
          <w:tab w:val="left" w:pos="851" w:leader="none"/>
          <w:tab w:val="left" w:pos="1440" w:leader="none"/>
        </w:tabs>
        <w:suppressAutoHyphens w:val="false"/>
        <w:bidi w:val="0"/>
        <w:spacing w:lineRule="auto" w:line="276" w:before="0" w:after="120"/>
        <w:ind w:left="0" w:right="0" w:hanging="0"/>
        <w:jc w:val="both"/>
        <w:rPr/>
      </w:pPr>
      <w:r>
        <w:rPr>
          <w:rFonts w:cs="Arial" w:ascii="Arial" w:hAnsi="Arial"/>
          <w:sz w:val="22"/>
          <w:szCs w:val="22"/>
        </w:rPr>
        <w:t>A vencedora deverá apresentar junto à Secretaria Municipal da Fazenda a caução no valor de 5% no valor da obra, nas condições previstas no art. 56 da Lei 8.666/93.</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contextualSpacing/>
        <w:jc w:val="both"/>
        <w:rPr>
          <w:rFonts w:cs="Arial"/>
          <w:bCs w:val="false"/>
          <w:sz w:val="22"/>
          <w:szCs w:val="22"/>
        </w:rPr>
      </w:pPr>
      <w:r>
        <w:rPr>
          <w:rFonts w:cs="Arial"/>
          <w:bCs w:val="false"/>
          <w:sz w:val="22"/>
          <w:szCs w:val="22"/>
        </w:rPr>
        <w:t>QUALIFICAÇÃO TÉCNICA.</w:t>
      </w:r>
    </w:p>
    <w:p>
      <w:pPr>
        <w:pStyle w:val="Normal"/>
        <w:tabs>
          <w:tab w:val="left" w:pos="851" w:leader="none"/>
        </w:tabs>
        <w:spacing w:lineRule="auto" w:line="276" w:before="0" w:after="120"/>
        <w:rPr>
          <w:rFonts w:ascii="Arial" w:hAnsi="Arial" w:cs="Arial"/>
          <w:sz w:val="22"/>
          <w:szCs w:val="22"/>
          <w:highlight w:val="yellow"/>
        </w:rPr>
      </w:pPr>
      <w:r>
        <w:rPr>
          <w:rFonts w:cs="Arial" w:ascii="Arial" w:hAnsi="Arial"/>
          <w:sz w:val="22"/>
          <w:szCs w:val="22"/>
          <w:highlight w:val="yellow"/>
        </w:rPr>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 xml:space="preserve">Certidão de inscrição </w:t>
      </w:r>
      <w:r>
        <w:rPr>
          <w:rFonts w:cs="Arial" w:ascii="Arial" w:hAnsi="Arial"/>
          <w:sz w:val="22"/>
          <w:szCs w:val="22"/>
          <w:u w:val="single"/>
        </w:rPr>
        <w:t>da empresa (pessoa jurídica e do(s) responsável(is) técnico(s) (pessoa física)</w:t>
      </w:r>
      <w:r>
        <w:rPr>
          <w:rFonts w:cs="Arial" w:ascii="Arial" w:hAnsi="Arial"/>
          <w:sz w:val="22"/>
          <w:szCs w:val="22"/>
        </w:rPr>
        <w:t xml:space="preserve"> no </w:t>
      </w:r>
      <w:r>
        <w:rPr>
          <w:rFonts w:cs="Arial" w:ascii="Arial" w:hAnsi="Arial"/>
          <w:b/>
          <w:sz w:val="22"/>
          <w:szCs w:val="22"/>
        </w:rPr>
        <w:t>Conselho Regional de Engenharia e Agronomia – CREA</w:t>
      </w:r>
      <w:r>
        <w:rPr>
          <w:rFonts w:cs="Arial" w:ascii="Arial" w:hAnsi="Arial"/>
          <w:sz w:val="22"/>
          <w:szCs w:val="22"/>
        </w:rPr>
        <w:t xml:space="preserve"> ou </w:t>
      </w:r>
      <w:r>
        <w:rPr>
          <w:rFonts w:cs="Arial" w:ascii="Arial" w:hAnsi="Arial"/>
          <w:b/>
          <w:sz w:val="22"/>
          <w:szCs w:val="22"/>
        </w:rPr>
        <w:t>Conselho de Arquitetura e Urbanismo – CAU</w:t>
      </w:r>
      <w:r>
        <w:rPr>
          <w:rFonts w:cs="Arial" w:ascii="Arial" w:hAnsi="Arial"/>
          <w:sz w:val="22"/>
          <w:szCs w:val="22"/>
        </w:rPr>
        <w:t xml:space="preserve">, da região da sede da empresa. </w:t>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Indicação do(s) responsável(is) técnico(s) ou equipe de profissionais responsáveis técnicos pertencentes ao quadro da empresa que participarão da condução dos serviços através da apresentação da(s) Certidão(ões) de Pessoa Física constante do subitem 7.1 contando com pelo menos:</w:t>
      </w:r>
    </w:p>
    <w:p>
      <w:pPr>
        <w:pStyle w:val="Normal"/>
        <w:widowControl/>
        <w:numPr>
          <w:ilvl w:val="1"/>
          <w:numId w:val="4"/>
        </w:numPr>
        <w:tabs>
          <w:tab w:val="left" w:pos="851" w:leader="none"/>
        </w:tabs>
        <w:suppressAutoHyphens w:val="false"/>
        <w:spacing w:lineRule="auto" w:line="276" w:before="0" w:after="120"/>
        <w:jc w:val="both"/>
        <w:rPr/>
      </w:pPr>
      <w:r>
        <w:rPr>
          <w:rFonts w:cs="Calibri" w:ascii="Arial" w:hAnsi="Arial"/>
          <w:sz w:val="22"/>
          <w:szCs w:val="22"/>
          <w:lang w:eastAsia="pt-BR"/>
        </w:rPr>
        <w:t>01 (um) Engenheiro Civil ou Arquiteto</w:t>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Além da experiência demonstrada na apresentação da Certidão de Acervo Técnico no órgão competente (CREA ou similar), a comprovação do vínculo empregatício dos profissionais deverá ser feita mediante cópia da Carteira Profissional de Trabalho e da Ficha de Registro de Empregados, sendo admitida a comprovação do vínculo por meio de contrato específico de prestação de serviços, dentro da legislação civil comum.</w:t>
      </w:r>
    </w:p>
    <w:p>
      <w:pPr>
        <w:pStyle w:val="Normal"/>
        <w:widowControl/>
        <w:numPr>
          <w:ilvl w:val="2"/>
          <w:numId w:val="1"/>
        </w:numPr>
        <w:tabs>
          <w:tab w:val="left" w:pos="851" w:leader="none"/>
        </w:tabs>
        <w:suppressAutoHyphens w:val="false"/>
        <w:spacing w:lineRule="auto" w:line="276" w:before="0" w:after="120"/>
        <w:ind w:left="284" w:hanging="0"/>
        <w:jc w:val="both"/>
        <w:rPr/>
      </w:pPr>
      <w:r>
        <w:rPr>
          <w:rFonts w:cs="Arial" w:ascii="Arial" w:hAnsi="Arial"/>
          <w:sz w:val="22"/>
          <w:szCs w:val="22"/>
        </w:rPr>
        <w:t xml:space="preserve">Quando se tratar de dirigente ou sócio da empresa licitante, tal comprovação será feita através do ato constitutivo da mesma e Certidão do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devidamente atualizada. </w:t>
      </w:r>
    </w:p>
    <w:p>
      <w:pPr>
        <w:pStyle w:val="Normal"/>
        <w:widowControl/>
        <w:numPr>
          <w:ilvl w:val="2"/>
          <w:numId w:val="1"/>
        </w:numPr>
        <w:tabs>
          <w:tab w:val="left" w:pos="851" w:leader="none"/>
        </w:tabs>
        <w:suppressAutoHyphens w:val="false"/>
        <w:spacing w:lineRule="auto" w:line="276" w:before="0" w:after="120"/>
        <w:ind w:left="284" w:hanging="0"/>
        <w:jc w:val="both"/>
        <w:rPr/>
      </w:pPr>
      <w:r>
        <w:rPr>
          <w:rFonts w:cs="Arial" w:ascii="Arial" w:hAnsi="Arial"/>
          <w:sz w:val="22"/>
          <w:szCs w:val="22"/>
        </w:rPr>
        <w:t xml:space="preserve">Quando se tratar de autônomo, apresentar contrato de prestação de serviços com a empresa licitante. </w:t>
      </w:r>
    </w:p>
    <w:p>
      <w:pPr>
        <w:pStyle w:val="Normal"/>
        <w:widowControl/>
        <w:numPr>
          <w:ilvl w:val="2"/>
          <w:numId w:val="1"/>
        </w:numPr>
        <w:tabs>
          <w:tab w:val="left" w:pos="851" w:leader="none"/>
        </w:tabs>
        <w:suppressAutoHyphens w:val="false"/>
        <w:spacing w:lineRule="auto" w:line="276" w:before="0" w:after="120"/>
        <w:ind w:left="284" w:hanging="0"/>
        <w:jc w:val="both"/>
        <w:rPr/>
      </w:pPr>
      <w:r>
        <w:rPr>
          <w:rFonts w:cs="Arial" w:ascii="Arial" w:hAnsi="Arial"/>
          <w:sz w:val="22"/>
          <w:szCs w:val="22"/>
        </w:rPr>
        <w:t>Não será permitido apresentar comprovação de vínculo de um mesmo profissional, em mais de uma licitante, sob pena de inabilitação de ambas.</w:t>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 xml:space="preserve">Comprovação </w:t>
      </w:r>
      <w:r>
        <w:rPr>
          <w:rFonts w:cs="Arial" w:ascii="Arial" w:hAnsi="Arial"/>
          <w:b/>
          <w:sz w:val="22"/>
          <w:szCs w:val="22"/>
          <w:u w:val="single"/>
        </w:rPr>
        <w:t>pela licitante</w:t>
      </w:r>
      <w:r>
        <w:rPr>
          <w:rFonts w:cs="Arial" w:ascii="Arial" w:hAnsi="Arial"/>
          <w:sz w:val="22"/>
          <w:szCs w:val="22"/>
        </w:rPr>
        <w:t xml:space="preserve"> de ter executado, a qualquer tempo, serviços/obras compatíveis com o objeto desta licitação, através de </w:t>
      </w:r>
      <w:r>
        <w:rPr>
          <w:rFonts w:cs="Arial" w:ascii="Arial" w:hAnsi="Arial"/>
          <w:b/>
          <w:sz w:val="22"/>
          <w:szCs w:val="22"/>
        </w:rPr>
        <w:t>Atestado(s) de Capacidade</w:t>
      </w:r>
      <w:r>
        <w:rPr>
          <w:rFonts w:cs="Arial" w:ascii="Arial" w:hAnsi="Arial"/>
          <w:sz w:val="22"/>
          <w:szCs w:val="22"/>
        </w:rPr>
        <w:t xml:space="preserve"> </w:t>
      </w:r>
      <w:r>
        <w:rPr>
          <w:rFonts w:cs="Arial" w:ascii="Arial" w:hAnsi="Arial"/>
          <w:b/>
          <w:sz w:val="22"/>
          <w:szCs w:val="22"/>
        </w:rPr>
        <w:t>Técnica</w:t>
      </w:r>
      <w:r>
        <w:rPr>
          <w:rFonts w:cs="Arial" w:ascii="Arial" w:hAnsi="Arial"/>
          <w:sz w:val="22"/>
          <w:szCs w:val="22"/>
        </w:rPr>
        <w:t xml:space="preserve"> bem como suas respectivas </w:t>
      </w:r>
      <w:r>
        <w:rPr>
          <w:rFonts w:cs="Arial" w:ascii="Arial" w:hAnsi="Arial"/>
          <w:b/>
          <w:sz w:val="22"/>
          <w:szCs w:val="22"/>
        </w:rPr>
        <w:t>Certidão(ões) de Acervo Técnico</w:t>
      </w:r>
      <w:r>
        <w:rPr>
          <w:rFonts w:cs="Arial" w:ascii="Arial" w:hAnsi="Arial"/>
          <w:sz w:val="22"/>
          <w:szCs w:val="22"/>
        </w:rPr>
        <w:t xml:space="preserve">, </w:t>
      </w:r>
      <w:r>
        <w:rPr>
          <w:rFonts w:cs="Arial" w:ascii="Arial" w:hAnsi="Arial"/>
          <w:b/>
          <w:sz w:val="22"/>
          <w:szCs w:val="22"/>
          <w:u w:val="single"/>
        </w:rPr>
        <w:t>em nome da própria licitante</w:t>
      </w:r>
      <w:r>
        <w:rPr>
          <w:rFonts w:cs="Arial" w:ascii="Arial" w:hAnsi="Arial"/>
          <w:sz w:val="22"/>
          <w:szCs w:val="22"/>
        </w:rPr>
        <w:t xml:space="preserve">, registrados(as) no conselho da categoria (CREA ou CAU) e que comprovem a </w:t>
      </w:r>
      <w:r>
        <w:rPr>
          <w:rFonts w:cs="Arial" w:ascii="Arial" w:hAnsi="Arial"/>
          <w:b/>
          <w:sz w:val="22"/>
          <w:szCs w:val="22"/>
        </w:rPr>
        <w:t xml:space="preserve">EXECUÇÃO </w:t>
      </w:r>
      <w:r>
        <w:rPr>
          <w:rFonts w:cs="Arial" w:ascii="Arial" w:hAnsi="Arial"/>
          <w:sz w:val="22"/>
          <w:szCs w:val="22"/>
        </w:rPr>
        <w:t>do(s) serviços relacionados.</w:t>
      </w:r>
    </w:p>
    <w:p>
      <w:pPr>
        <w:pStyle w:val="Normal"/>
        <w:widowControl/>
        <w:tabs>
          <w:tab w:val="left" w:pos="851" w:leader="none"/>
        </w:tabs>
        <w:suppressAutoHyphens w:val="false"/>
        <w:spacing w:lineRule="auto" w:line="276" w:before="0" w:after="120"/>
        <w:jc w:val="both"/>
        <w:rPr/>
      </w:pPr>
      <w:r>
        <w:rPr/>
      </w:r>
    </w:p>
    <w:p>
      <w:pPr>
        <w:pStyle w:val="Normal"/>
        <w:widowControl/>
        <w:tabs>
          <w:tab w:val="left" w:pos="851" w:leader="none"/>
        </w:tabs>
        <w:suppressAutoHyphens w:val="false"/>
        <w:spacing w:lineRule="auto" w:line="276" w:before="0" w:after="120"/>
        <w:jc w:val="both"/>
        <w:rPr/>
      </w:pPr>
      <w:r>
        <w:rPr/>
      </w:r>
    </w:p>
    <w:tbl>
      <w:tblPr>
        <w:tblW w:w="8495" w:type="dxa"/>
        <w:jc w:val="left"/>
        <w:tblInd w:w="35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0" w:type="dxa"/>
          <w:bottom w:w="0" w:type="dxa"/>
          <w:right w:w="70" w:type="dxa"/>
        </w:tblCellMar>
        <w:tblLook w:firstRow="0" w:noVBand="0" w:lastRow="0" w:firstColumn="0" w:lastColumn="0" w:noHBand="0" w:val="0000"/>
      </w:tblPr>
      <w:tblGrid>
        <w:gridCol w:w="5154"/>
        <w:gridCol w:w="3340"/>
      </w:tblGrid>
      <w:tr>
        <w:trPr>
          <w:trHeight w:val="624" w:hRule="atLeast"/>
          <w:cantSplit w:val="true"/>
        </w:trPr>
        <w:tc>
          <w:tcPr>
            <w:tcW w:w="849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99CCFF" w:val="clear"/>
            <w:vAlign w:val="center"/>
          </w:tcPr>
          <w:p>
            <w:pPr>
              <w:pStyle w:val="Normal"/>
              <w:tabs>
                <w:tab w:val="left" w:pos="851" w:leader="none"/>
              </w:tabs>
              <w:spacing w:lineRule="auto" w:line="276" w:before="0" w:after="120"/>
              <w:jc w:val="center"/>
              <w:rPr/>
            </w:pPr>
            <w:r>
              <w:rPr>
                <w:rFonts w:eastAsia="Arial" w:cs="Arial" w:ascii="Arial" w:hAnsi="Arial"/>
                <w:b/>
                <w:sz w:val="22"/>
              </w:rPr>
              <w:t>ESPECIFICAÇÃO DOS SERVIÇOS DE RELEVÂNCIA TÉCNICA – OPERACIONAL</w:t>
            </w:r>
          </w:p>
        </w:tc>
      </w:tr>
      <w:tr>
        <w:trPr>
          <w:trHeight w:val="454" w:hRule="atLeast"/>
          <w:cantSplit w:val="true"/>
        </w:trPr>
        <w:tc>
          <w:tcPr>
            <w:tcW w:w="51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vAlign w:val="center"/>
          </w:tcPr>
          <w:p>
            <w:pPr>
              <w:pStyle w:val="Normal"/>
              <w:tabs>
                <w:tab w:val="left" w:pos="851" w:leader="none"/>
              </w:tabs>
              <w:spacing w:lineRule="auto" w:line="276" w:before="0" w:after="120"/>
              <w:jc w:val="center"/>
              <w:rPr/>
            </w:pPr>
            <w:r>
              <w:rPr>
                <w:rFonts w:eastAsia="Arial" w:cs="Arial" w:ascii="Arial" w:hAnsi="Arial"/>
                <w:b/>
                <w:color w:val="00000A"/>
                <w:sz w:val="22"/>
              </w:rPr>
              <w:t>Pintura</w:t>
            </w:r>
          </w:p>
        </w:tc>
        <w:tc>
          <w:tcPr>
            <w:tcW w:w="33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vAlign w:val="center"/>
          </w:tcPr>
          <w:p>
            <w:pPr>
              <w:pStyle w:val="Normal"/>
              <w:tabs>
                <w:tab w:val="left" w:pos="851" w:leader="none"/>
              </w:tabs>
              <w:spacing w:lineRule="auto" w:line="276" w:before="0" w:after="120"/>
              <w:jc w:val="center"/>
              <w:rPr/>
            </w:pPr>
            <w:r>
              <w:rPr>
                <w:rFonts w:cs="Arial" w:ascii="Arial" w:hAnsi="Arial"/>
                <w:b/>
                <w:color w:val="00000A"/>
                <w:sz w:val="22"/>
              </w:rPr>
              <w:t>6.000,00</w:t>
            </w:r>
            <w:r>
              <w:rPr>
                <w:rFonts w:cs="Arial" w:ascii="Arial" w:hAnsi="Arial"/>
                <w:b/>
                <w:color w:val="00000A"/>
                <w:sz w:val="22"/>
              </w:rPr>
              <w:t xml:space="preserve"> m²</w:t>
            </w:r>
          </w:p>
        </w:tc>
      </w:tr>
    </w:tbl>
    <w:p>
      <w:pPr>
        <w:pStyle w:val="Normal"/>
        <w:rPr>
          <w:rFonts w:ascii="Arial" w:hAnsi="Arial" w:eastAsia="Arial" w:cs="Arial"/>
          <w:sz w:val="22"/>
        </w:rPr>
      </w:pPr>
      <w:r>
        <w:rPr>
          <w:rFonts w:eastAsia="Arial" w:cs="Arial" w:ascii="Arial" w:hAnsi="Arial"/>
          <w:sz w:val="22"/>
        </w:rPr>
      </w:r>
    </w:p>
    <w:p>
      <w:pPr>
        <w:pStyle w:val="Normal"/>
        <w:rPr>
          <w:rFonts w:ascii="Arial" w:hAnsi="Arial" w:eastAsia="Arial" w:cs="Arial"/>
          <w:sz w:val="22"/>
        </w:rPr>
      </w:pPr>
      <w:r>
        <w:rPr>
          <w:rFonts w:eastAsia="Arial" w:cs="Arial" w:ascii="Arial" w:hAnsi="Arial"/>
          <w:sz w:val="22"/>
        </w:rPr>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 xml:space="preserve">Comprovação complementar pelos(s) responsáveis técnicos indicados no item 7.2, que, na data da licitação possui em </w:t>
      </w:r>
      <w:r>
        <w:rPr>
          <w:rFonts w:cs="Arial" w:ascii="Arial" w:hAnsi="Arial"/>
          <w:b/>
          <w:sz w:val="22"/>
          <w:szCs w:val="22"/>
        </w:rPr>
        <w:t>Atestado(s) de Capacidade</w:t>
      </w:r>
      <w:r>
        <w:rPr>
          <w:rFonts w:cs="Arial" w:ascii="Arial" w:hAnsi="Arial"/>
          <w:sz w:val="22"/>
          <w:szCs w:val="22"/>
        </w:rPr>
        <w:t xml:space="preserve"> </w:t>
      </w:r>
      <w:r>
        <w:rPr>
          <w:rFonts w:cs="Arial" w:ascii="Arial" w:hAnsi="Arial"/>
          <w:b/>
          <w:sz w:val="22"/>
          <w:szCs w:val="22"/>
        </w:rPr>
        <w:t>Técnica</w:t>
      </w:r>
      <w:r>
        <w:rPr>
          <w:rFonts w:cs="Arial" w:ascii="Arial" w:hAnsi="Arial"/>
          <w:sz w:val="22"/>
          <w:szCs w:val="22"/>
        </w:rPr>
        <w:t xml:space="preserve"> bem como suas respectivas </w:t>
      </w:r>
      <w:r>
        <w:rPr>
          <w:rFonts w:cs="Arial" w:ascii="Arial" w:hAnsi="Arial"/>
          <w:b/>
          <w:sz w:val="22"/>
          <w:szCs w:val="22"/>
        </w:rPr>
        <w:t>Certidão(ões) de Acervo Técnico</w:t>
      </w:r>
      <w:r>
        <w:rPr>
          <w:rFonts w:cs="Arial" w:ascii="Arial" w:hAnsi="Arial"/>
          <w:sz w:val="22"/>
          <w:szCs w:val="22"/>
        </w:rPr>
        <w:t xml:space="preserve">, registrados(as) no conselho da categoria e que comprovem também a </w:t>
      </w:r>
      <w:r>
        <w:rPr>
          <w:rFonts w:cs="Arial" w:ascii="Arial" w:hAnsi="Arial"/>
          <w:b/>
          <w:sz w:val="22"/>
          <w:szCs w:val="22"/>
        </w:rPr>
        <w:t xml:space="preserve">EXECUÇÃO </w:t>
      </w:r>
      <w:r>
        <w:rPr>
          <w:rFonts w:cs="Arial" w:ascii="Arial" w:hAnsi="Arial"/>
          <w:sz w:val="22"/>
          <w:szCs w:val="22"/>
        </w:rPr>
        <w:t>do(s) serviços relacionados:</w:t>
      </w:r>
    </w:p>
    <w:p>
      <w:pPr>
        <w:pStyle w:val="Normal"/>
        <w:widowControl/>
        <w:numPr>
          <w:ilvl w:val="0"/>
          <w:numId w:val="0"/>
        </w:numPr>
        <w:tabs>
          <w:tab w:val="left" w:pos="851" w:leader="none"/>
        </w:tabs>
        <w:suppressAutoHyphens w:val="false"/>
        <w:spacing w:lineRule="auto" w:line="276" w:before="0" w:after="120"/>
        <w:ind w:left="1567" w:hanging="0"/>
        <w:jc w:val="both"/>
        <w:rPr>
          <w:rFonts w:ascii="Arial" w:hAnsi="Arial" w:cs="Arial"/>
          <w:sz w:val="22"/>
          <w:szCs w:val="22"/>
        </w:rPr>
      </w:pPr>
      <w:r>
        <w:rPr>
          <w:rFonts w:cs="Arial" w:ascii="Arial" w:hAnsi="Arial"/>
          <w:sz w:val="22"/>
          <w:szCs w:val="22"/>
        </w:rPr>
      </w:r>
    </w:p>
    <w:tbl>
      <w:tblPr>
        <w:tblW w:w="8495" w:type="dxa"/>
        <w:jc w:val="left"/>
        <w:tblInd w:w="35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0" w:type="dxa"/>
          <w:bottom w:w="0" w:type="dxa"/>
          <w:right w:w="70" w:type="dxa"/>
        </w:tblCellMar>
        <w:tblLook w:firstRow="0" w:noVBand="0" w:lastRow="0" w:firstColumn="0" w:lastColumn="0" w:noHBand="0" w:val="0000"/>
      </w:tblPr>
      <w:tblGrid>
        <w:gridCol w:w="5154"/>
        <w:gridCol w:w="3340"/>
      </w:tblGrid>
      <w:tr>
        <w:trPr>
          <w:trHeight w:val="624" w:hRule="atLeast"/>
          <w:cantSplit w:val="true"/>
        </w:trPr>
        <w:tc>
          <w:tcPr>
            <w:tcW w:w="849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99CCFF" w:val="clear"/>
            <w:vAlign w:val="center"/>
          </w:tcPr>
          <w:p>
            <w:pPr>
              <w:pStyle w:val="Normal"/>
              <w:tabs>
                <w:tab w:val="left" w:pos="851" w:leader="none"/>
              </w:tabs>
              <w:spacing w:lineRule="auto" w:line="276" w:before="0" w:after="120"/>
              <w:jc w:val="center"/>
              <w:rPr/>
            </w:pPr>
            <w:r>
              <w:rPr>
                <w:rFonts w:eastAsia="Arial" w:cs="Arial" w:ascii="Arial" w:hAnsi="Arial"/>
                <w:b/>
                <w:sz w:val="22"/>
              </w:rPr>
              <w:t>ESPECIFICAÇÃO DOS SERVIÇOS DE RELEVÂNCIA TÉCNICA – PROFISSIONAL</w:t>
            </w:r>
          </w:p>
        </w:tc>
      </w:tr>
      <w:tr>
        <w:trPr>
          <w:trHeight w:val="454" w:hRule="atLeast"/>
          <w:cantSplit w:val="true"/>
        </w:trPr>
        <w:tc>
          <w:tcPr>
            <w:tcW w:w="8494"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vAlign w:val="center"/>
          </w:tcPr>
          <w:p>
            <w:pPr>
              <w:pStyle w:val="Normal"/>
              <w:tabs>
                <w:tab w:val="left" w:pos="851" w:leader="none"/>
              </w:tabs>
              <w:spacing w:lineRule="auto" w:line="276" w:before="0" w:after="120"/>
              <w:jc w:val="center"/>
              <w:rPr/>
            </w:pPr>
            <w:r>
              <w:rPr>
                <w:rFonts w:ascii="Arial" w:hAnsi="Arial"/>
                <w:sz w:val="22"/>
                <w:szCs w:val="22"/>
              </w:rPr>
              <w:t>ENGENHEIRO CIVIL OU ARQUITETO</w:t>
            </w:r>
          </w:p>
        </w:tc>
      </w:tr>
      <w:tr>
        <w:trPr>
          <w:trHeight w:val="454" w:hRule="atLeast"/>
          <w:cantSplit w:val="true"/>
        </w:trPr>
        <w:tc>
          <w:tcPr>
            <w:tcW w:w="51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vAlign w:val="center"/>
          </w:tcPr>
          <w:p>
            <w:pPr>
              <w:pStyle w:val="Normal"/>
              <w:tabs>
                <w:tab w:val="left" w:pos="851" w:leader="none"/>
              </w:tabs>
              <w:spacing w:lineRule="auto" w:line="276" w:before="0" w:after="120"/>
              <w:jc w:val="center"/>
              <w:rPr/>
            </w:pPr>
            <w:r>
              <w:rPr>
                <w:rFonts w:eastAsia="Arial" w:cs="Arial" w:ascii="Arial" w:hAnsi="Arial"/>
                <w:b/>
                <w:sz w:val="22"/>
                <w:szCs w:val="22"/>
              </w:rPr>
              <w:t>Execução de Edificação</w:t>
            </w:r>
          </w:p>
          <w:p>
            <w:pPr>
              <w:pStyle w:val="Normal"/>
              <w:tabs>
                <w:tab w:val="left" w:pos="851" w:leader="none"/>
              </w:tabs>
              <w:spacing w:lineRule="auto" w:line="276" w:before="0" w:after="120"/>
              <w:jc w:val="center"/>
              <w:rPr/>
            </w:pPr>
            <w:r>
              <w:rPr>
                <w:rFonts w:eastAsia="Arial" w:cs="Arial" w:ascii="Arial" w:hAnsi="Arial"/>
                <w:b/>
                <w:sz w:val="16"/>
                <w:szCs w:val="16"/>
              </w:rPr>
              <w:t xml:space="preserve"> </w:t>
            </w:r>
            <w:r>
              <w:rPr>
                <w:rFonts w:eastAsia="Arial" w:cs="Arial" w:ascii="Arial" w:hAnsi="Arial"/>
                <w:b/>
                <w:sz w:val="16"/>
                <w:szCs w:val="16"/>
              </w:rPr>
              <w:t>(caso o profissional seja diferente do apresentado no item 7.4)</w:t>
            </w:r>
          </w:p>
        </w:tc>
        <w:tc>
          <w:tcPr>
            <w:tcW w:w="33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vAlign w:val="center"/>
          </w:tcPr>
          <w:p>
            <w:pPr>
              <w:pStyle w:val="Normal"/>
              <w:tabs>
                <w:tab w:val="left" w:pos="851" w:leader="none"/>
              </w:tabs>
              <w:spacing w:lineRule="auto" w:line="276" w:before="0" w:after="120"/>
              <w:jc w:val="center"/>
              <w:rPr/>
            </w:pPr>
            <w:r>
              <w:rPr>
                <w:rFonts w:cs="Arial" w:ascii="Arial" w:hAnsi="Arial"/>
                <w:b/>
                <w:sz w:val="22"/>
                <w:szCs w:val="22"/>
              </w:rPr>
              <w:t>47</w:t>
            </w:r>
            <w:r>
              <w:rPr>
                <w:rFonts w:cs="Arial" w:ascii="Arial" w:hAnsi="Arial"/>
                <w:b/>
                <w:sz w:val="22"/>
                <w:szCs w:val="22"/>
              </w:rPr>
              <w:t xml:space="preserve"> m²</w:t>
            </w:r>
          </w:p>
        </w:tc>
      </w:tr>
    </w:tbl>
    <w:p>
      <w:pPr>
        <w:pStyle w:val="Normal"/>
        <w:widowControl/>
        <w:tabs>
          <w:tab w:val="left" w:pos="851" w:leader="none"/>
        </w:tabs>
        <w:suppressAutoHyphens w:val="false"/>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Será permitida a apresentação de certidão(ões) e atestado(s) proveniente(s) de contratos, para atendimento das condições do quadro acima.</w:t>
      </w:r>
    </w:p>
    <w:p>
      <w:pPr>
        <w:pStyle w:val="Normal"/>
        <w:tabs>
          <w:tab w:val="left" w:pos="851" w:leader="none"/>
        </w:tabs>
        <w:spacing w:lineRule="auto" w:line="276" w:before="0" w:after="120"/>
        <w:ind w:left="502" w:hanging="0"/>
        <w:jc w:val="both"/>
        <w:rPr/>
      </w:pPr>
      <w:r>
        <w:rPr>
          <w:rFonts w:cs="Arial" w:ascii="Arial" w:hAnsi="Arial"/>
          <w:sz w:val="22"/>
          <w:szCs w:val="22"/>
        </w:rPr>
        <w:t xml:space="preserve">7.6.1. Somente serão aceitos atestado(s) e certidão(es) fornecidos por pessoas jurídicas de direito público ou privado, devidamente certificados pelo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da região onde foram executados os serviços.</w:t>
      </w:r>
    </w:p>
    <w:p>
      <w:pPr>
        <w:pStyle w:val="Normal"/>
        <w:tabs>
          <w:tab w:val="left" w:pos="851" w:leader="none"/>
        </w:tabs>
        <w:spacing w:lineRule="auto" w:line="276" w:before="0" w:after="120"/>
        <w:ind w:left="502" w:hanging="0"/>
        <w:jc w:val="both"/>
        <w:rPr/>
      </w:pPr>
      <w:r>
        <w:rPr>
          <w:rFonts w:cs="Arial" w:ascii="Arial" w:hAnsi="Arial"/>
          <w:sz w:val="22"/>
          <w:szCs w:val="22"/>
        </w:rPr>
        <w:t>7.6.2. A fim de agilizar a avaliação do processo, solicita-se a identificação dos Itens de Relevância Técnica nos atestados por parte da Licitante.</w:t>
      </w:r>
    </w:p>
    <w:p>
      <w:pPr>
        <w:pStyle w:val="Normal"/>
        <w:numPr>
          <w:ilvl w:val="1"/>
          <w:numId w:val="1"/>
        </w:numPr>
        <w:tabs>
          <w:tab w:val="left" w:pos="851" w:leader="none"/>
        </w:tabs>
        <w:spacing w:lineRule="auto" w:line="276" w:before="0" w:after="120"/>
        <w:ind w:left="0" w:hanging="0"/>
        <w:jc w:val="both"/>
        <w:rPr/>
      </w:pPr>
      <w:r>
        <w:rPr>
          <w:rFonts w:cs="Arial" w:ascii="Arial" w:hAnsi="Arial"/>
          <w:sz w:val="22"/>
          <w:szCs w:val="22"/>
        </w:rPr>
        <w:t>Deverão ser observadas as seguintes condições na apresentação dos Atestados:</w:t>
      </w:r>
    </w:p>
    <w:p>
      <w:pPr>
        <w:pStyle w:val="Normal"/>
        <w:tabs>
          <w:tab w:val="left" w:pos="851" w:leader="none"/>
        </w:tabs>
        <w:spacing w:lineRule="auto" w:line="276" w:before="0" w:after="120"/>
        <w:jc w:val="both"/>
        <w:rPr/>
      </w:pPr>
      <w:r>
        <w:rPr>
          <w:rFonts w:cs="Arial" w:ascii="Arial" w:hAnsi="Arial"/>
          <w:sz w:val="22"/>
          <w:szCs w:val="22"/>
        </w:rPr>
        <w:t>A(s) certidão(ões) e/ou atestado(s) apresentado(s) deverá(ão) conter as seguintes informações básicas:</w:t>
      </w:r>
    </w:p>
    <w:p>
      <w:pPr>
        <w:pStyle w:val="Normal"/>
        <w:widowControl/>
        <w:numPr>
          <w:ilvl w:val="3"/>
          <w:numId w:val="5"/>
        </w:numPr>
        <w:tabs>
          <w:tab w:val="left" w:pos="851" w:leader="none"/>
        </w:tabs>
        <w:suppressAutoHyphens w:val="false"/>
        <w:bidi w:val="0"/>
        <w:spacing w:lineRule="auto" w:line="276" w:before="0" w:after="120"/>
        <w:ind w:left="850" w:right="0" w:hanging="340"/>
        <w:jc w:val="both"/>
        <w:rPr/>
      </w:pPr>
      <w:r>
        <w:rPr>
          <w:rFonts w:cs="Arial" w:ascii="Arial" w:hAnsi="Arial"/>
          <w:sz w:val="22"/>
          <w:szCs w:val="22"/>
        </w:rPr>
        <w:t>Nome do contratado e do contratante;</w:t>
      </w:r>
    </w:p>
    <w:p>
      <w:pPr>
        <w:pStyle w:val="Normal"/>
        <w:widowControl/>
        <w:numPr>
          <w:ilvl w:val="3"/>
          <w:numId w:val="5"/>
        </w:numPr>
        <w:tabs>
          <w:tab w:val="left" w:pos="851" w:leader="none"/>
        </w:tabs>
        <w:suppressAutoHyphens w:val="false"/>
        <w:bidi w:val="0"/>
        <w:spacing w:lineRule="auto" w:line="276" w:before="0" w:after="120"/>
        <w:ind w:left="850" w:right="0" w:hanging="340"/>
        <w:jc w:val="both"/>
        <w:rPr/>
      </w:pPr>
      <w:r>
        <w:rPr>
          <w:rFonts w:cs="Arial" w:ascii="Arial" w:hAnsi="Arial"/>
          <w:sz w:val="22"/>
          <w:szCs w:val="22"/>
        </w:rPr>
        <w:t>Identificação do objeto do contrato (tipo ou natureza da obra);</w:t>
      </w:r>
    </w:p>
    <w:p>
      <w:pPr>
        <w:pStyle w:val="Normal"/>
        <w:widowControl/>
        <w:numPr>
          <w:ilvl w:val="3"/>
          <w:numId w:val="5"/>
        </w:numPr>
        <w:tabs>
          <w:tab w:val="left" w:pos="851" w:leader="none"/>
        </w:tabs>
        <w:suppressAutoHyphens w:val="false"/>
        <w:bidi w:val="0"/>
        <w:spacing w:lineRule="auto" w:line="276" w:before="0" w:after="120"/>
        <w:ind w:left="850" w:right="0" w:hanging="340"/>
        <w:jc w:val="both"/>
        <w:rPr/>
      </w:pPr>
      <w:r>
        <w:rPr>
          <w:rFonts w:cs="Arial" w:ascii="Arial" w:hAnsi="Arial"/>
          <w:sz w:val="22"/>
          <w:szCs w:val="22"/>
        </w:rPr>
        <w:t>Localização e data da realização da obra;</w:t>
      </w:r>
    </w:p>
    <w:p>
      <w:pPr>
        <w:pStyle w:val="Normal"/>
        <w:widowControl/>
        <w:numPr>
          <w:ilvl w:val="3"/>
          <w:numId w:val="5"/>
        </w:numPr>
        <w:tabs>
          <w:tab w:val="left" w:pos="851" w:leader="none"/>
        </w:tabs>
        <w:suppressAutoHyphens w:val="false"/>
        <w:bidi w:val="0"/>
        <w:spacing w:lineRule="auto" w:line="276" w:before="0" w:after="120"/>
        <w:ind w:left="850" w:right="0" w:hanging="340"/>
        <w:jc w:val="both"/>
        <w:rPr/>
      </w:pPr>
      <w:r>
        <w:rPr>
          <w:rFonts w:cs="Arial" w:ascii="Arial" w:hAnsi="Arial"/>
          <w:sz w:val="22"/>
          <w:szCs w:val="22"/>
        </w:rPr>
        <w:t>Serviços executados.</w:t>
      </w:r>
    </w:p>
    <w:p>
      <w:pPr>
        <w:pStyle w:val="Normal"/>
        <w:tabs>
          <w:tab w:val="left" w:pos="851" w:leader="none"/>
        </w:tabs>
        <w:spacing w:lineRule="auto" w:line="276" w:before="0" w:after="120"/>
        <w:jc w:val="both"/>
        <w:rPr/>
      </w:pPr>
      <w:r>
        <w:rPr>
          <w:rFonts w:cs="Arial" w:ascii="Arial" w:hAnsi="Arial"/>
          <w:sz w:val="22"/>
          <w:szCs w:val="22"/>
        </w:rPr>
        <w:t xml:space="preserve">7.8. O atestado ou certidão que não atender a todas as características citadas nas condições acima, não será considerado pela </w:t>
      </w:r>
      <w:r>
        <w:rPr>
          <w:rFonts w:cs="Arial" w:ascii="Arial" w:hAnsi="Arial"/>
          <w:b/>
          <w:sz w:val="22"/>
          <w:szCs w:val="22"/>
        </w:rPr>
        <w:t xml:space="preserve">Comissão de Licitação. </w:t>
      </w:r>
    </w:p>
    <w:p>
      <w:pPr>
        <w:pStyle w:val="Normal"/>
        <w:tabs>
          <w:tab w:val="left" w:pos="426" w:leader="none"/>
          <w:tab w:val="left" w:pos="851" w:leader="none"/>
        </w:tabs>
        <w:spacing w:lineRule="auto" w:line="276" w:before="0" w:after="120"/>
        <w:jc w:val="both"/>
        <w:rPr/>
      </w:pPr>
      <w:r>
        <w:rPr>
          <w:rFonts w:cs="Arial" w:ascii="Arial" w:hAnsi="Arial"/>
          <w:sz w:val="22"/>
          <w:szCs w:val="22"/>
        </w:rPr>
        <w:t xml:space="preserve">7.9. A montagem e supervisão da equipe técnica e operacional, ficará inteiramente a cargo da contratada, observando a alocação de profissionais devidamente habilitados para cada especialidade. Neste particular, por ocasião da execução do objeto, a </w:t>
      </w:r>
      <w:r>
        <w:rPr>
          <w:rFonts w:cs="Arial" w:ascii="Arial" w:hAnsi="Arial"/>
          <w:b/>
          <w:sz w:val="22"/>
          <w:szCs w:val="22"/>
        </w:rPr>
        <w:t xml:space="preserve">fiscalização </w:t>
      </w:r>
      <w:r>
        <w:rPr>
          <w:rFonts w:cs="Arial" w:ascii="Arial" w:hAnsi="Arial"/>
          <w:sz w:val="22"/>
          <w:szCs w:val="22"/>
        </w:rPr>
        <w:t>poderá exercer o direito a veto de profissionais que não estejam qualificados de acordo com suas atribuições ou mesmo que qualificados, não estejam correspondendo no desenvolvimento do objeto pretendido.</w:t>
      </w:r>
      <w:r>
        <w:rPr>
          <w:rStyle w:val="Applestylespan"/>
          <w:rFonts w:eastAsia="Calibri" w:cs="Arial" w:ascii="Arial" w:hAnsi="Arial"/>
          <w:sz w:val="22"/>
          <w:szCs w:val="22"/>
        </w:rPr>
        <w:t xml:space="preserve"> </w:t>
      </w:r>
    </w:p>
    <w:p>
      <w:pPr>
        <w:pStyle w:val="Normal"/>
        <w:tabs>
          <w:tab w:val="left" w:pos="426" w:leader="none"/>
          <w:tab w:val="left" w:pos="851" w:leader="none"/>
        </w:tabs>
        <w:spacing w:lineRule="auto" w:line="276" w:before="0" w:after="120"/>
        <w:jc w:val="both"/>
        <w:rPr>
          <w:rStyle w:val="Applestylespan"/>
          <w:rFonts w:ascii="Arial" w:hAnsi="Arial" w:eastAsia="Calibri" w:cs="Arial"/>
          <w:sz w:val="22"/>
          <w:szCs w:val="22"/>
        </w:rPr>
      </w:pPr>
      <w:r>
        <w:rPr>
          <w:rFonts w:eastAsia="Calibri"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contextualSpacing/>
        <w:jc w:val="both"/>
        <w:rPr/>
      </w:pPr>
      <w:r>
        <w:rPr>
          <w:rFonts w:cs="Arial"/>
          <w:bCs w:val="false"/>
          <w:sz w:val="22"/>
          <w:szCs w:val="22"/>
        </w:rPr>
        <w:t>8. OBRIGAÇÕES DA CONTRATADA.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r>
    </w:p>
    <w:p>
      <w:pPr>
        <w:pStyle w:val="Normal"/>
        <w:tabs>
          <w:tab w:val="left" w:pos="851" w:leader="none"/>
        </w:tabs>
        <w:spacing w:lineRule="auto" w:line="276" w:before="0" w:after="120"/>
        <w:jc w:val="both"/>
        <w:rPr/>
      </w:pPr>
      <w:r>
        <w:rPr>
          <w:rFonts w:eastAsia="Calibri" w:cs="Arial" w:ascii="Arial" w:hAnsi="Arial"/>
          <w:sz w:val="22"/>
          <w:szCs w:val="22"/>
        </w:rPr>
        <w:t>8.1. Fornecimento de material, mão de obra, equipamentos, transporte de pessoal, alimentação, hospedagem, obrigações fiscais e sociais, seguros por danos pessoais, materiais, responsabilidades técnicas e civil, correrão à custa exclusiva do proponente vencedor.</w:t>
      </w:r>
    </w:p>
    <w:p>
      <w:pPr>
        <w:pStyle w:val="Normal"/>
        <w:tabs>
          <w:tab w:val="left" w:pos="851" w:leader="none"/>
        </w:tabs>
        <w:spacing w:lineRule="auto" w:line="276" w:before="0" w:after="120"/>
        <w:jc w:val="both"/>
        <w:rPr/>
      </w:pPr>
      <w:r>
        <w:rPr>
          <w:rFonts w:eastAsia="Calibri" w:cs="Arial" w:ascii="Arial" w:hAnsi="Arial"/>
          <w:sz w:val="22"/>
          <w:szCs w:val="22"/>
        </w:rPr>
        <w:t>8.2. Os materiais utilizados na obra deverão seguir as especificações técnicas exigidas pela fiscalização da obra.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8.3. Os serviços serão executados após ordem de serviços, emitida pela Secretaria Municipal de Educação, sendo os mesmos acompanhados e fiscalizados por técnicos da mesma.</w:t>
      </w:r>
    </w:p>
    <w:p>
      <w:pPr>
        <w:pStyle w:val="Normal"/>
        <w:tabs>
          <w:tab w:val="left" w:pos="851" w:leader="none"/>
        </w:tabs>
        <w:spacing w:lineRule="auto" w:line="276" w:before="0" w:after="120"/>
        <w:jc w:val="both"/>
        <w:rPr/>
      </w:pPr>
      <w:r>
        <w:rPr>
          <w:rFonts w:eastAsia="Calibri" w:cs="Arial" w:ascii="Arial" w:hAnsi="Arial"/>
          <w:sz w:val="22"/>
          <w:szCs w:val="22"/>
        </w:rPr>
        <w:t>8.4. É de inteira responsabilidade do proponente/ contratado a fiel execução dos serviços, de forma que a obra seja concluída de acordo com a boa técnica e Normas específicas.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8.5. Não será admitida pelos licitantes/contratado, a alegação de falta de peças técnicas e/ou desconhecimento do processo/ serviços.</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8.6.</w:t>
      </w:r>
      <w:r>
        <w:rPr>
          <w:rFonts w:cs="Arial" w:ascii="Arial" w:hAnsi="Arial"/>
          <w:b/>
          <w:sz w:val="22"/>
          <w:szCs w:val="22"/>
        </w:rPr>
        <w:t xml:space="preserve"> </w:t>
      </w:r>
      <w:r>
        <w:rPr>
          <w:rFonts w:cs="Arial" w:ascii="Arial" w:hAnsi="Arial"/>
          <w:sz w:val="22"/>
          <w:szCs w:val="22"/>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8.7. </w:t>
      </w:r>
      <w:r>
        <w:rPr>
          <w:rFonts w:cs="Arial" w:ascii="Arial" w:hAnsi="Arial"/>
          <w:sz w:val="22"/>
          <w:szCs w:val="22"/>
        </w:rPr>
        <w:t>Manter sempre em serviço um supervisor credenciado e preparado para responder prontamente pela empresa junto a Secretaria Municipal de Educação.</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8.8. </w:t>
      </w:r>
      <w:r>
        <w:rPr>
          <w:rFonts w:cs="Arial" w:ascii="Arial" w:hAnsi="Arial"/>
          <w:sz w:val="22"/>
          <w:szCs w:val="22"/>
        </w:rPr>
        <w:t>Manter junto a seu escritório plantão apto para resolver quaisquer problemas que possam surgir durante a realização dos trabalhos.</w:t>
      </w:r>
    </w:p>
    <w:p>
      <w:pPr>
        <w:pStyle w:val="Corpodetexto"/>
        <w:tabs>
          <w:tab w:val="left" w:pos="851" w:leader="none"/>
        </w:tabs>
        <w:spacing w:lineRule="auto" w:line="276"/>
        <w:jc w:val="both"/>
        <w:rPr>
          <w:rFonts w:ascii="Arial" w:hAnsi="Arial" w:eastAsia="Calibri" w:cs="Arial"/>
          <w:sz w:val="22"/>
          <w:szCs w:val="22"/>
        </w:rPr>
      </w:pPr>
      <w:r>
        <w:rPr>
          <w:rFonts w:cs="Arial" w:ascii="Arial" w:hAnsi="Arial"/>
          <w:sz w:val="22"/>
          <w:szCs w:val="22"/>
        </w:rPr>
        <w:t>8.9.</w:t>
      </w:r>
      <w:r>
        <w:rPr>
          <w:rFonts w:cs="Arial" w:ascii="Arial" w:hAnsi="Arial"/>
          <w:b/>
          <w:sz w:val="22"/>
          <w:szCs w:val="22"/>
        </w:rPr>
        <w:t xml:space="preserve"> </w:t>
      </w:r>
      <w:r>
        <w:rPr>
          <w:rFonts w:cs="Arial" w:ascii="Arial" w:hAnsi="Arial"/>
          <w:sz w:val="22"/>
          <w:szCs w:val="22"/>
        </w:rPr>
        <w:t>Substituir imediatamente qualquer empregado seu que se mostre inconveniente a qualquer pessoa envolvida na execução do objeto.</w:t>
      </w:r>
      <w:r>
        <w:rPr>
          <w:rFonts w:eastAsia="Calibri" w:cs="Arial" w:ascii="Arial" w:hAnsi="Arial"/>
          <w:sz w:val="22"/>
          <w:szCs w:val="22"/>
        </w:rPr>
        <w:t xml:space="preserve"> </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8.10.</w:t>
      </w:r>
      <w:r>
        <w:rPr>
          <w:rFonts w:cs="Arial" w:ascii="Arial" w:hAnsi="Arial"/>
          <w:b/>
          <w:sz w:val="22"/>
          <w:szCs w:val="22"/>
        </w:rPr>
        <w:t xml:space="preserve"> </w:t>
      </w:r>
      <w:r>
        <w:rPr>
          <w:rFonts w:cs="Arial" w:ascii="Arial" w:hAnsi="Arial"/>
          <w:sz w:val="22"/>
          <w:szCs w:val="22"/>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pPr>
        <w:pStyle w:val="Corpodetexto"/>
        <w:tabs>
          <w:tab w:val="left" w:pos="851" w:leader="none"/>
        </w:tabs>
        <w:spacing w:lineRule="auto" w:line="276"/>
        <w:jc w:val="both"/>
        <w:rPr/>
      </w:pPr>
      <w:r>
        <w:rPr>
          <w:rFonts w:eastAsia="Calibri" w:cs="Arial" w:ascii="Arial" w:hAnsi="Arial"/>
          <w:sz w:val="22"/>
          <w:szCs w:val="22"/>
        </w:rPr>
        <w:t xml:space="preserve">8.11. </w:t>
      </w:r>
      <w:r>
        <w:rPr>
          <w:rFonts w:cs="Arial" w:ascii="Arial" w:hAnsi="Arial"/>
          <w:sz w:val="22"/>
          <w:szCs w:val="22"/>
        </w:rPr>
        <w:t>Solucionar através de providências que se fizerem necessárias as incoerências falhas ou omissões constatadas na execução do contrato.</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8.12. </w:t>
      </w:r>
      <w:r>
        <w:rPr>
          <w:rFonts w:cs="Arial" w:ascii="Arial" w:hAnsi="Arial"/>
          <w:sz w:val="22"/>
          <w:szCs w:val="22"/>
        </w:rPr>
        <w:t>Fornecer detalhes construtivos que se fizerem necessários para a perfeita execução da obra.</w:t>
      </w:r>
    </w:p>
    <w:p>
      <w:pPr>
        <w:pStyle w:val="Corpodetexto"/>
        <w:tabs>
          <w:tab w:val="left" w:pos="851" w:leader="none"/>
        </w:tabs>
        <w:spacing w:lineRule="auto" w:line="276"/>
        <w:jc w:val="both"/>
        <w:rPr/>
      </w:pPr>
      <w:r>
        <w:rPr>
          <w:rFonts w:eastAsia="Calibri" w:cs="Arial" w:ascii="Arial" w:hAnsi="Arial"/>
          <w:sz w:val="22"/>
          <w:szCs w:val="22"/>
        </w:rPr>
        <w:t xml:space="preserve">8.13. </w:t>
      </w:r>
      <w:r>
        <w:rPr>
          <w:rFonts w:cs="Arial" w:ascii="Arial" w:hAnsi="Arial"/>
          <w:sz w:val="22"/>
          <w:szCs w:val="22"/>
        </w:rPr>
        <w:t>Substituir materiais e equipamentos que sejam considerados defeituosos, inadequados ou inservíveis para a obra.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8.14. </w:t>
      </w:r>
      <w:r>
        <w:rPr>
          <w:rFonts w:cs="Arial" w:ascii="Arial" w:hAnsi="Arial"/>
          <w:sz w:val="22"/>
          <w:szCs w:val="22"/>
        </w:rPr>
        <w:t>Que seja refeito qualquer trabalho que não obedeça aos elementos do projeto e demais disposições contratuais, correndo por conta da contratada as despesas decorrentes da correção realizada.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8.15. </w:t>
      </w:r>
      <w:r>
        <w:rPr>
          <w:rFonts w:cs="Arial" w:ascii="Arial" w:hAnsi="Arial"/>
          <w:sz w:val="22"/>
          <w:szCs w:val="22"/>
        </w:rPr>
        <w:t>Todos os materiais deverão ser de primeira qualidade e, salvo, os expressamente excluídos adiante, serão inteiramente fornecidos pela contratada.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8.16.</w:t>
      </w:r>
      <w:r>
        <w:rPr>
          <w:rFonts w:cs="Arial" w:ascii="Arial" w:hAnsi="Arial"/>
          <w:b/>
          <w:sz w:val="22"/>
          <w:szCs w:val="22"/>
        </w:rPr>
        <w:t xml:space="preserve"> </w:t>
      </w:r>
      <w:r>
        <w:rPr>
          <w:rFonts w:cs="Arial" w:ascii="Arial" w:hAnsi="Arial"/>
          <w:sz w:val="22"/>
          <w:szCs w:val="22"/>
        </w:rPr>
        <w:t>Fornecer nota fiscal dos serviços prestados.</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8.17.A empresa vencedora deverá indicar antes da liberação da </w:t>
      </w:r>
      <w:r>
        <w:rPr>
          <w:rFonts w:cs="Arial" w:ascii="Arial" w:hAnsi="Arial"/>
          <w:b/>
          <w:sz w:val="22"/>
          <w:szCs w:val="22"/>
        </w:rPr>
        <w:t>ORDEM DE SERVIÇO (O.S.)</w:t>
      </w:r>
      <w:r>
        <w:rPr>
          <w:rFonts w:cs="Arial" w:ascii="Arial" w:hAnsi="Arial"/>
          <w:sz w:val="22"/>
          <w:szCs w:val="22"/>
        </w:rPr>
        <w:t xml:space="preserve"> e manter um (</w:t>
      </w:r>
      <w:r>
        <w:rPr>
          <w:rFonts w:cs="Arial" w:ascii="Arial" w:hAnsi="Arial"/>
          <w:b/>
          <w:sz w:val="22"/>
          <w:szCs w:val="22"/>
        </w:rPr>
        <w:t>PREPOSTO)</w:t>
      </w:r>
      <w:r>
        <w:rPr>
          <w:rFonts w:cs="Arial" w:ascii="Arial" w:hAnsi="Arial"/>
          <w:sz w:val="22"/>
          <w:szCs w:val="22"/>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8.18. 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t>A caução inicial poderá ser feita em uma das seguintes modalidades:</w:t>
      </w:r>
    </w:p>
    <w:p>
      <w:pPr>
        <w:pStyle w:val="Normal"/>
        <w:tabs>
          <w:tab w:val="left" w:pos="851" w:leader="none"/>
        </w:tabs>
        <w:spacing w:lineRule="auto" w:line="276" w:before="0" w:after="120"/>
        <w:ind w:left="709" w:hanging="0"/>
        <w:jc w:val="both"/>
        <w:rPr>
          <w:rFonts w:ascii="Arial" w:hAnsi="Arial" w:cs="Arial"/>
          <w:bCs/>
          <w:sz w:val="22"/>
          <w:szCs w:val="22"/>
        </w:rPr>
      </w:pPr>
      <w:r>
        <w:rPr>
          <w:rFonts w:cs="Arial" w:ascii="Arial" w:hAnsi="Arial"/>
          <w:bCs/>
          <w:sz w:val="22"/>
          <w:szCs w:val="22"/>
        </w:rPr>
        <w:t>a) em moeda corrente no país ou em títulos de dívida pública;</w:t>
      </w:r>
    </w:p>
    <w:p>
      <w:pPr>
        <w:pStyle w:val="Normal"/>
        <w:tabs>
          <w:tab w:val="left" w:pos="851" w:leader="none"/>
        </w:tabs>
        <w:spacing w:lineRule="auto" w:line="276" w:before="0" w:after="120"/>
        <w:ind w:left="709" w:hanging="0"/>
        <w:jc w:val="both"/>
        <w:rPr>
          <w:rFonts w:ascii="Arial" w:hAnsi="Arial" w:cs="Arial"/>
          <w:bCs/>
          <w:sz w:val="22"/>
          <w:szCs w:val="22"/>
        </w:rPr>
      </w:pPr>
      <w:r>
        <w:rPr>
          <w:rFonts w:cs="Arial" w:ascii="Arial" w:hAnsi="Arial"/>
          <w:bCs/>
          <w:sz w:val="22"/>
          <w:szCs w:val="22"/>
        </w:rPr>
        <w:t>b) em fiança bancária;</w:t>
      </w:r>
    </w:p>
    <w:p>
      <w:pPr>
        <w:pStyle w:val="Normal"/>
        <w:tabs>
          <w:tab w:val="left" w:pos="851" w:leader="none"/>
        </w:tabs>
        <w:spacing w:lineRule="auto" w:line="276" w:before="0" w:after="120"/>
        <w:ind w:left="709" w:hanging="0"/>
        <w:jc w:val="both"/>
        <w:rPr/>
      </w:pPr>
      <w:r>
        <w:rPr>
          <w:rFonts w:cs="Arial" w:ascii="Arial" w:hAnsi="Arial"/>
          <w:bCs/>
          <w:sz w:val="22"/>
          <w:szCs w:val="22"/>
        </w:rPr>
        <w:t>c) em seguro-garantia.</w:t>
      </w:r>
    </w:p>
    <w:p>
      <w:pPr>
        <w:pStyle w:val="Normal"/>
        <w:tabs>
          <w:tab w:val="left" w:pos="851" w:leader="none"/>
        </w:tabs>
        <w:spacing w:lineRule="auto" w:line="276" w:before="0" w:after="120"/>
        <w:jc w:val="both"/>
        <w:rPr/>
      </w:pPr>
      <w:r>
        <w:rPr>
          <w:rFonts w:cs="Arial" w:ascii="Arial" w:hAnsi="Arial"/>
          <w:bCs/>
          <w:sz w:val="22"/>
          <w:szCs w:val="22"/>
        </w:rPr>
        <w:t>A caução inicial somente poderá ser levantada 60 (sessenta) dias após o encerramento do contrato.</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contextualSpacing/>
        <w:jc w:val="both"/>
        <w:rPr/>
      </w:pPr>
      <w:r>
        <w:rPr>
          <w:rFonts w:cs="Arial"/>
          <w:bCs w:val="false"/>
          <w:sz w:val="22"/>
          <w:szCs w:val="22"/>
        </w:rPr>
        <w:t>9. OBRIGAÇÕES DA CONTRATANTE.</w:t>
      </w:r>
    </w:p>
    <w:p>
      <w:pPr>
        <w:pStyle w:val="Corpodetexto"/>
        <w:tabs>
          <w:tab w:val="left" w:pos="851" w:leader="none"/>
        </w:tabs>
        <w:spacing w:lineRule="auto" w:line="276"/>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pPr>
      <w:r>
        <w:rPr>
          <w:rFonts w:eastAsia="Calibri" w:cs="Arial" w:ascii="Arial" w:hAnsi="Arial"/>
          <w:sz w:val="22"/>
          <w:szCs w:val="22"/>
        </w:rPr>
        <w:t>9.1. Efetuar os pagamentos nos prazos estabelecidos, respeitadas as disposições da proposta, do presente contrato.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9.2. Prestar as informações necessárias com clareza, à contratada para execução dos serviços contratados.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9.3. Acompanhar e fiscalizar a execução dos serviços.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9.4. Adotar as medidas solicitadas pela contratada e consideradas necessárias à perfeita execução dos serviços.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9.5. Nomear fiscal para dirimir dúvidas.</w:t>
      </w:r>
    </w:p>
    <w:p>
      <w:pPr>
        <w:pStyle w:val="Corpodetexto"/>
        <w:tabs>
          <w:tab w:val="left" w:pos="851" w:leader="none"/>
        </w:tabs>
        <w:spacing w:lineRule="auto" w:line="276"/>
        <w:jc w:val="both"/>
        <w:rPr>
          <w:rFonts w:ascii="Arial" w:hAnsi="Arial" w:eastAsia="Calibri" w:cs="Arial"/>
          <w:sz w:val="22"/>
          <w:szCs w:val="22"/>
        </w:rPr>
      </w:pPr>
      <w:r>
        <w:rPr>
          <w:rFonts w:eastAsia="Calibri" w:cs="Arial" w:ascii="Arial" w:hAnsi="Arial"/>
          <w:sz w:val="22"/>
          <w:szCs w:val="22"/>
        </w:rPr>
        <w:t>9.6. Dar aceitação dos serviços.</w:t>
      </w:r>
    </w:p>
    <w:p>
      <w:pPr>
        <w:pStyle w:val="Corpodetexto"/>
        <w:tabs>
          <w:tab w:val="left" w:pos="851" w:leader="none"/>
        </w:tabs>
        <w:spacing w:lineRule="auto" w:line="276"/>
        <w:jc w:val="both"/>
        <w:rPr>
          <w:rFonts w:ascii="Arial" w:hAnsi="Arial" w:eastAsia="Calibri" w:cs="Arial"/>
          <w:sz w:val="22"/>
          <w:szCs w:val="22"/>
        </w:rPr>
      </w:pPr>
      <w:r>
        <w:rPr>
          <w:rFonts w:eastAsia="Calibri"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contextualSpacing/>
        <w:jc w:val="both"/>
        <w:rPr/>
      </w:pPr>
      <w:r>
        <w:rPr>
          <w:rFonts w:cs="Arial"/>
          <w:bCs w:val="false"/>
          <w:sz w:val="22"/>
          <w:szCs w:val="22"/>
        </w:rPr>
        <w:t>10. ORÇAMENTO ESTIMADO.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tbl>
      <w:tblPr>
        <w:tblW w:w="9225" w:type="dxa"/>
        <w:jc w:val="left"/>
        <w:tblInd w:w="-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 w:type="dxa"/>
          <w:bottom w:w="0" w:type="dxa"/>
          <w:right w:w="70" w:type="dxa"/>
        </w:tblCellMar>
        <w:tblLook w:firstRow="0" w:noVBand="0" w:lastRow="0" w:firstColumn="0" w:lastColumn="0" w:noHBand="0" w:val="0000"/>
      </w:tblPr>
      <w:tblGrid>
        <w:gridCol w:w="6570"/>
        <w:gridCol w:w="2654"/>
      </w:tblGrid>
      <w:tr>
        <w:trPr>
          <w:trHeight w:val="525" w:hRule="atLeast"/>
        </w:trPr>
        <w:tc>
          <w:tcPr>
            <w:tcW w:w="657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0E0E0" w:val="clear"/>
            <w:vAlign w:val="center"/>
          </w:tcPr>
          <w:p>
            <w:pPr>
              <w:pStyle w:val="BodyText3"/>
              <w:tabs>
                <w:tab w:val="left" w:pos="851" w:leader="none"/>
              </w:tabs>
              <w:spacing w:lineRule="auto" w:line="276" w:before="0" w:after="120"/>
              <w:jc w:val="center"/>
              <w:rPr>
                <w:rFonts w:ascii="Arial" w:hAnsi="Arial" w:cs="Arial"/>
                <w:b/>
                <w:b/>
                <w:sz w:val="22"/>
                <w:szCs w:val="22"/>
              </w:rPr>
            </w:pPr>
            <w:r>
              <w:rPr>
                <w:rFonts w:cs="Arial" w:ascii="Arial" w:hAnsi="Arial"/>
                <w:b/>
                <w:sz w:val="22"/>
                <w:szCs w:val="22"/>
              </w:rPr>
              <w:t>DESCRIÇÃO</w:t>
            </w:r>
          </w:p>
        </w:tc>
        <w:tc>
          <w:tcPr>
            <w:tcW w:w="2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0E0E0" w:val="clear"/>
            <w:vAlign w:val="center"/>
          </w:tcPr>
          <w:p>
            <w:pPr>
              <w:pStyle w:val="BodyText3"/>
              <w:tabs>
                <w:tab w:val="left" w:pos="851" w:leader="none"/>
              </w:tabs>
              <w:spacing w:lineRule="auto" w:line="276" w:before="0" w:after="120"/>
              <w:jc w:val="center"/>
              <w:rPr>
                <w:rFonts w:ascii="Arial" w:hAnsi="Arial" w:cs="Arial"/>
                <w:b/>
                <w:b/>
                <w:sz w:val="22"/>
                <w:szCs w:val="22"/>
              </w:rPr>
            </w:pPr>
            <w:r>
              <w:rPr>
                <w:rFonts w:cs="Arial" w:ascii="Arial" w:hAnsi="Arial"/>
                <w:b/>
                <w:sz w:val="22"/>
                <w:szCs w:val="22"/>
              </w:rPr>
              <w:t>ORÇAMENTO</w:t>
            </w:r>
          </w:p>
        </w:tc>
      </w:tr>
      <w:tr>
        <w:trPr>
          <w:trHeight w:val="547" w:hRule="atLeast"/>
        </w:trPr>
        <w:tc>
          <w:tcPr>
            <w:tcW w:w="657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tabs>
                <w:tab w:val="left" w:pos="851" w:leader="none"/>
              </w:tabs>
              <w:spacing w:lineRule="auto" w:line="276" w:before="0" w:after="120"/>
              <w:jc w:val="center"/>
              <w:rPr/>
            </w:pPr>
            <w:bookmarkStart w:id="5" w:name="docs-internal-guid-e19422a3-9e74-278a-ac"/>
            <w:bookmarkEnd w:id="5"/>
            <w:r>
              <w:rPr>
                <w:rFonts w:cs="Arial" w:ascii="Arial" w:hAnsi="Arial"/>
                <w:b/>
                <w:color w:val="000000"/>
                <w:szCs w:val="22"/>
              </w:rPr>
              <w:t>REFORMA E AMPLIAÇÃO D</w:t>
            </w:r>
            <w:r>
              <w:rPr>
                <w:rFonts w:cs="Arial" w:ascii="Arial" w:hAnsi="Arial"/>
                <w:b/>
                <w:color w:val="000000"/>
                <w:szCs w:val="22"/>
              </w:rPr>
              <w:t>A ESCOLA BÁSICA MELVIN JONES</w:t>
            </w:r>
          </w:p>
        </w:tc>
        <w:tc>
          <w:tcPr>
            <w:tcW w:w="2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BodyText3"/>
              <w:tabs>
                <w:tab w:val="left" w:pos="851" w:leader="none"/>
              </w:tabs>
              <w:spacing w:lineRule="auto" w:line="276" w:before="0" w:after="120"/>
              <w:jc w:val="center"/>
              <w:rPr/>
            </w:pPr>
            <w:r>
              <w:rPr>
                <w:rFonts w:cs="Arial" w:ascii="Arial" w:hAnsi="Arial"/>
                <w:b/>
                <w:bCs/>
                <w:sz w:val="22"/>
                <w:szCs w:val="22"/>
              </w:rPr>
              <w:t xml:space="preserve">R$ </w:t>
            </w:r>
            <w:r>
              <w:rPr>
                <w:rFonts w:cs="Arial" w:ascii="Arial" w:hAnsi="Arial"/>
                <w:b/>
                <w:bCs/>
                <w:sz w:val="22"/>
                <w:szCs w:val="22"/>
              </w:rPr>
              <w:t>595</w:t>
            </w:r>
            <w:r>
              <w:rPr>
                <w:rFonts w:cs="Arial" w:ascii="Arial" w:hAnsi="Arial"/>
                <w:b/>
                <w:bCs/>
                <w:sz w:val="22"/>
                <w:szCs w:val="22"/>
              </w:rPr>
              <w:t>.</w:t>
            </w:r>
            <w:r>
              <w:rPr>
                <w:rFonts w:cs="Arial" w:ascii="Arial" w:hAnsi="Arial"/>
                <w:b/>
                <w:bCs/>
                <w:sz w:val="22"/>
                <w:szCs w:val="22"/>
              </w:rPr>
              <w:t>147</w:t>
            </w:r>
            <w:r>
              <w:rPr>
                <w:rFonts w:cs="Arial" w:ascii="Arial" w:hAnsi="Arial"/>
                <w:b/>
                <w:bCs/>
                <w:sz w:val="22"/>
                <w:szCs w:val="22"/>
              </w:rPr>
              <w:t>,</w:t>
            </w:r>
            <w:r>
              <w:rPr>
                <w:rFonts w:cs="Arial" w:ascii="Arial" w:hAnsi="Arial"/>
                <w:b/>
                <w:bCs/>
                <w:sz w:val="22"/>
                <w:szCs w:val="22"/>
              </w:rPr>
              <w:t>79</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10.1. Propostas acima do orçamento estimado serão desclassificadas.</w:t>
      </w:r>
    </w:p>
    <w:p>
      <w:pPr>
        <w:pStyle w:val="Normal"/>
        <w:tabs>
          <w:tab w:val="left" w:pos="851" w:leader="none"/>
        </w:tabs>
        <w:spacing w:lineRule="auto" w:line="276" w:before="0" w:after="120"/>
        <w:jc w:val="both"/>
        <w:rPr/>
      </w:pPr>
      <w:r>
        <w:rPr>
          <w:rFonts w:cs="Arial" w:ascii="Arial" w:hAnsi="Arial"/>
          <w:sz w:val="22"/>
          <w:szCs w:val="22"/>
        </w:rPr>
        <w:t xml:space="preserve">10.2. Se torna </w:t>
      </w:r>
      <w:r>
        <w:rPr>
          <w:rFonts w:cs="Arial" w:ascii="Arial" w:hAnsi="Arial"/>
          <w:b/>
          <w:sz w:val="22"/>
          <w:szCs w:val="22"/>
        </w:rPr>
        <w:t>OBRIGATÓRIO</w:t>
      </w:r>
      <w:r>
        <w:rPr>
          <w:rFonts w:cs="Arial" w:ascii="Arial" w:hAnsi="Arial"/>
          <w:sz w:val="22"/>
          <w:szCs w:val="22"/>
        </w:rPr>
        <w:t xml:space="preserve">, apresentação da composição do </w:t>
      </w:r>
      <w:r>
        <w:rPr>
          <w:rFonts w:cs="Arial" w:ascii="Arial" w:hAnsi="Arial"/>
          <w:b/>
          <w:sz w:val="22"/>
          <w:szCs w:val="22"/>
        </w:rPr>
        <w:t>BDI</w:t>
      </w:r>
      <w:r>
        <w:rPr>
          <w:rFonts w:cs="Arial" w:ascii="Arial" w:hAnsi="Arial"/>
          <w:sz w:val="22"/>
          <w:szCs w:val="22"/>
        </w:rPr>
        <w:t xml:space="preserve"> por parte da licitante contendo os parâmetros:</w:t>
      </w:r>
    </w:p>
    <w:p>
      <w:pPr>
        <w:pStyle w:val="Normal"/>
        <w:tabs>
          <w:tab w:val="left" w:pos="851" w:leader="none"/>
        </w:tabs>
        <w:spacing w:lineRule="auto" w:line="276" w:before="0" w:after="120"/>
        <w:jc w:val="both"/>
        <w:rPr>
          <w:rFonts w:ascii="Arial" w:hAnsi="Arial" w:cs="Arial"/>
          <w:sz w:val="22"/>
          <w:szCs w:val="22"/>
        </w:rPr>
      </w:pPr>
      <w:r>
        <w:rPr/>
      </w:r>
    </w:p>
    <w:p>
      <w:pPr>
        <w:pStyle w:val="Normal"/>
        <w:tabs>
          <w:tab w:val="left" w:pos="851" w:leader="none"/>
        </w:tabs>
        <w:spacing w:lineRule="auto" w:line="276" w:before="0" w:after="120"/>
        <w:jc w:val="both"/>
        <w:rPr>
          <w:rFonts w:ascii="Arial" w:hAnsi="Arial" w:cs="Arial"/>
          <w:sz w:val="22"/>
          <w:szCs w:val="22"/>
        </w:rPr>
      </w:pPr>
      <w:r>
        <w:rPr/>
      </w:r>
    </w:p>
    <w:tbl>
      <w:tblPr>
        <w:tblW w:w="6379"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70" w:type="dxa"/>
        </w:tblCellMar>
        <w:tblLook w:firstRow="1" w:noVBand="1" w:lastRow="0" w:firstColumn="1" w:lastColumn="0" w:noHBand="0" w:val="04a0"/>
      </w:tblPr>
      <w:tblGrid>
        <w:gridCol w:w="849"/>
        <w:gridCol w:w="5529"/>
      </w:tblGrid>
      <w:tr>
        <w:trPr>
          <w:trHeight w:val="227" w:hRule="atLeast"/>
        </w:trPr>
        <w:tc>
          <w:tcPr>
            <w:tcW w:w="63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8DB3E2" w:themeFill="text2" w:themeFillTint="66" w:val="clear"/>
            <w:vAlign w:val="center"/>
          </w:tcPr>
          <w:p>
            <w:pPr>
              <w:pStyle w:val="Normal"/>
              <w:tabs>
                <w:tab w:val="left" w:pos="851" w:leader="none"/>
              </w:tabs>
              <w:spacing w:lineRule="auto" w:line="276" w:before="0" w:after="120"/>
              <w:jc w:val="center"/>
              <w:rPr/>
            </w:pPr>
            <w:r>
              <w:rPr>
                <w:rFonts w:cs="Arial" w:ascii="Arial" w:hAnsi="Arial"/>
                <w:b/>
                <w:sz w:val="20"/>
                <w:szCs w:val="20"/>
              </w:rPr>
              <w:t>DESCRIÇÃO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AC</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Taxa de Administração Central</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S + G</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Seguro e Garantia</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R</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Risco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DF</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Despesas Financeiras</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L</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Lucro/Remuneração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I</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(IMPOSTOS) PIS, COFINS E ISSQN</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 xml:space="preserve">10.3. Será </w:t>
      </w:r>
      <w:r>
        <w:rPr>
          <w:rFonts w:cs="Arial" w:ascii="Arial" w:hAnsi="Arial"/>
          <w:b/>
          <w:sz w:val="22"/>
          <w:szCs w:val="22"/>
        </w:rPr>
        <w:t xml:space="preserve">FACULTADA, </w:t>
      </w:r>
      <w:r>
        <w:rPr>
          <w:rFonts w:cs="Arial" w:ascii="Arial" w:hAnsi="Arial"/>
          <w:sz w:val="22"/>
          <w:szCs w:val="22"/>
        </w:rPr>
        <w:t xml:space="preserve">apresentação da </w:t>
      </w:r>
      <w:r>
        <w:rPr>
          <w:rFonts w:cs="Arial" w:ascii="Arial" w:hAnsi="Arial"/>
          <w:b/>
          <w:sz w:val="22"/>
          <w:szCs w:val="22"/>
        </w:rPr>
        <w:t>DECLARAÇÃO DE VISITA TÉCNICA</w:t>
      </w:r>
      <w:r>
        <w:rPr>
          <w:rFonts w:cs="Arial" w:ascii="Arial" w:hAnsi="Arial"/>
          <w:sz w:val="22"/>
          <w:szCs w:val="22"/>
        </w:rPr>
        <w:t xml:space="preserve"> emitida pela </w:t>
      </w:r>
      <w:r>
        <w:rPr>
          <w:rFonts w:cs="Arial" w:ascii="Arial" w:hAnsi="Arial"/>
          <w:b/>
          <w:sz w:val="22"/>
          <w:szCs w:val="22"/>
        </w:rPr>
        <w:t>CONTRATANTE</w:t>
      </w:r>
      <w:r>
        <w:rPr>
          <w:rFonts w:cs="Arial" w:ascii="Arial" w:hAnsi="Arial"/>
          <w:sz w:val="22"/>
          <w:szCs w:val="22"/>
        </w:rPr>
        <w:t xml:space="preserve"> por parte do Licitante.</w:t>
      </w:r>
    </w:p>
    <w:p>
      <w:pPr>
        <w:pStyle w:val="Normal"/>
        <w:tabs>
          <w:tab w:val="left" w:pos="851" w:leader="none"/>
        </w:tabs>
        <w:spacing w:lineRule="auto" w:line="276" w:before="0" w:after="120"/>
        <w:jc w:val="both"/>
        <w:rPr/>
      </w:pPr>
      <w:r>
        <w:rPr>
          <w:rFonts w:cs="Arial" w:ascii="Arial" w:hAnsi="Arial"/>
          <w:sz w:val="22"/>
          <w:szCs w:val="22"/>
        </w:rPr>
        <w:t xml:space="preserve">10.4. Torna-se </w:t>
      </w:r>
      <w:r>
        <w:rPr>
          <w:rFonts w:cs="Arial" w:ascii="Arial" w:hAnsi="Arial"/>
          <w:b/>
          <w:sz w:val="22"/>
          <w:szCs w:val="22"/>
        </w:rPr>
        <w:t>OBRIGATÓRIO</w:t>
      </w:r>
      <w:r>
        <w:rPr>
          <w:rFonts w:cs="Arial" w:ascii="Arial" w:hAnsi="Arial"/>
          <w:sz w:val="22"/>
          <w:szCs w:val="22"/>
        </w:rPr>
        <w:t xml:space="preserve">, apresentação da </w:t>
      </w:r>
      <w:r>
        <w:rPr>
          <w:rFonts w:cs="Arial" w:ascii="Arial" w:hAnsi="Arial"/>
          <w:b/>
          <w:sz w:val="22"/>
          <w:szCs w:val="22"/>
        </w:rPr>
        <w:t>PLANILHA ORÇAMENTÁRIA</w:t>
      </w:r>
      <w:r>
        <w:rPr>
          <w:rFonts w:cs="Arial" w:ascii="Arial" w:hAnsi="Arial"/>
          <w:sz w:val="22"/>
          <w:szCs w:val="22"/>
        </w:rPr>
        <w:t xml:space="preserve"> proposta pela empresa vencedora contendo a indicação do </w:t>
      </w:r>
      <w:r>
        <w:rPr>
          <w:rFonts w:cs="Arial" w:ascii="Arial" w:hAnsi="Arial"/>
          <w:b/>
          <w:sz w:val="22"/>
          <w:szCs w:val="22"/>
        </w:rPr>
        <w:t>BDI</w:t>
      </w:r>
      <w:r>
        <w:rPr>
          <w:rFonts w:cs="Arial" w:ascii="Arial" w:hAnsi="Arial"/>
          <w:sz w:val="22"/>
          <w:szCs w:val="22"/>
        </w:rPr>
        <w:t>.</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 xml:space="preserve">10.5. Torna-se </w:t>
      </w:r>
      <w:r>
        <w:rPr>
          <w:rFonts w:cs="Arial" w:ascii="Arial" w:hAnsi="Arial"/>
          <w:b/>
          <w:sz w:val="22"/>
          <w:szCs w:val="22"/>
        </w:rPr>
        <w:t>OBRIGATÓRIO</w:t>
      </w:r>
      <w:r>
        <w:rPr>
          <w:rFonts w:cs="Arial" w:ascii="Arial" w:hAnsi="Arial"/>
          <w:sz w:val="22"/>
          <w:szCs w:val="22"/>
        </w:rPr>
        <w:t xml:space="preserve">, apresentação do cronograma físico-financeiro proposto pela empresa vencedora. </w:t>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contextualSpacing/>
        <w:jc w:val="both"/>
        <w:rPr/>
      </w:pPr>
      <w:r>
        <w:rPr>
          <w:rFonts w:cs="Arial"/>
          <w:bCs w:val="false"/>
          <w:sz w:val="22"/>
          <w:szCs w:val="22"/>
        </w:rPr>
        <w:t>11. EXAME DA(S) PROPOSTA(S) DE PREÇOS.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ab/>
      </w:r>
    </w:p>
    <w:p>
      <w:pPr>
        <w:pStyle w:val="Normal"/>
        <w:widowControl/>
        <w:numPr>
          <w:ilvl w:val="1"/>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As Propostas que atenderem em sua essência aos requisitos do Edital serão verificadas quanto aos seguintes erros, os quais serão corrigidos pela Comissão de Licitação na forma indicada abaixo:</w:t>
      </w:r>
    </w:p>
    <w:p>
      <w:pPr>
        <w:pStyle w:val="Normal"/>
        <w:widowControl/>
        <w:numPr>
          <w:ilvl w:val="2"/>
          <w:numId w:val="3"/>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bCs/>
          <w:sz w:val="22"/>
          <w:szCs w:val="22"/>
        </w:rPr>
      </w:pPr>
      <w:r>
        <w:rPr>
          <w:rFonts w:cs="Arial" w:ascii="Arial" w:hAnsi="Arial"/>
          <w:bCs/>
          <w:sz w:val="22"/>
          <w:szCs w:val="22"/>
        </w:rPr>
        <w:t>Discrepância entre valores grafados em algarismos e por extenso: prevalecerá o valor por extenso;</w:t>
      </w:r>
    </w:p>
    <w:p>
      <w:pPr>
        <w:pStyle w:val="PT"/>
        <w:numPr>
          <w:ilvl w:val="2"/>
          <w:numId w:val="3"/>
        </w:numPr>
        <w:tabs>
          <w:tab w:val="left" w:pos="851" w:leader="none"/>
          <w:tab w:val="left" w:pos="993" w:leader="none"/>
          <w:tab w:val="left" w:pos="1418" w:leader="none"/>
        </w:tabs>
        <w:overflowPunct w:val="false"/>
        <w:spacing w:lineRule="auto" w:line="276" w:before="0" w:after="120"/>
        <w:ind w:left="567" w:hanging="0"/>
        <w:textAlignment w:val="auto"/>
        <w:rPr>
          <w:rFonts w:cs="Arial"/>
          <w:b w:val="false"/>
          <w:b w:val="false"/>
          <w:bCs/>
          <w:spacing w:val="0"/>
          <w:sz w:val="22"/>
          <w:szCs w:val="22"/>
        </w:rPr>
      </w:pPr>
      <w:r>
        <w:rPr>
          <w:rFonts w:cs="Arial"/>
          <w:b w:val="false"/>
          <w:bCs/>
          <w:spacing w:val="0"/>
          <w:sz w:val="22"/>
          <w:szCs w:val="22"/>
        </w:rPr>
        <w:t>Erros de transcrição das quantidades do Projeto para a proposta: o produto será corrigido devidamente, mantendo-se o preço unitário e corrigindo-se a quantidade e o preço total;</w:t>
      </w:r>
    </w:p>
    <w:p>
      <w:pPr>
        <w:pStyle w:val="Normal"/>
        <w:widowControl/>
        <w:numPr>
          <w:ilvl w:val="2"/>
          <w:numId w:val="3"/>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Erro de multiplicação do preço unitário pela quantidade correspondente: será retificado, mantendo-se o preço unitário e a quantidade e corrigindo-se o produto;</w:t>
      </w:r>
    </w:p>
    <w:p>
      <w:pPr>
        <w:pStyle w:val="Normal"/>
        <w:widowControl/>
        <w:numPr>
          <w:ilvl w:val="2"/>
          <w:numId w:val="3"/>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Erro de adição: será retificado conservando as parcelas corretas e trocando-se a soma;</w:t>
      </w:r>
    </w:p>
    <w:p>
      <w:pPr>
        <w:pStyle w:val="Normal"/>
        <w:widowControl/>
        <w:numPr>
          <w:ilvl w:val="2"/>
          <w:numId w:val="3"/>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Verificado em qualquer momento, até o término do contrato, incoerências ou divergências de qualquer natureza nas composições dos preços unitários, será adotada a correção que resultar no menor valor.</w:t>
      </w:r>
    </w:p>
    <w:p>
      <w:pPr>
        <w:pStyle w:val="Normal"/>
        <w:widowControl/>
        <w:numPr>
          <w:ilvl w:val="1"/>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pPr>
        <w:pStyle w:val="Normal"/>
        <w:widowControl/>
        <w:numPr>
          <w:ilvl w:val="1"/>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Com exceção das alterações, entrelinhas ou rasuras feitas pela Comissão de Licitação, necessárias para corrigir erros cometidos pelos Licitantes, não serão aceitas propostas contendo borrões, emendas ou rasuras.</w:t>
      </w:r>
    </w:p>
    <w:p>
      <w:pPr>
        <w:pStyle w:val="Normal"/>
        <w:widowControl/>
        <w:numPr>
          <w:ilvl w:val="1"/>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As Propostas de Preços serão analisadas, conferidas, corrigidas e classificadas por ordem crescente de valores corrigidos.</w:t>
      </w:r>
    </w:p>
    <w:p>
      <w:pPr>
        <w:pStyle w:val="Corpodetexto"/>
        <w:widowControl/>
        <w:numPr>
          <w:ilvl w:val="1"/>
          <w:numId w:val="3"/>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Atendida as condições do item acima, será considerado vencedor a proposta que resulte o </w:t>
      </w:r>
      <w:r>
        <w:rPr>
          <w:rFonts w:cs="Arial" w:ascii="Arial" w:hAnsi="Arial"/>
          <w:b/>
          <w:sz w:val="22"/>
          <w:szCs w:val="22"/>
        </w:rPr>
        <w:t>MENOR PREÇO GLOBAL</w:t>
      </w:r>
      <w:r>
        <w:rPr>
          <w:rFonts w:cs="Arial" w:ascii="Arial" w:hAnsi="Arial"/>
          <w:sz w:val="22"/>
          <w:szCs w:val="22"/>
        </w:rPr>
        <w:t xml:space="preserve"> para a obra, e caso ocorra empate entre duas ou mais propostas, a decisão será feita por sorteio.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contextualSpacing/>
        <w:jc w:val="both"/>
        <w:rPr>
          <w:sz w:val="22"/>
          <w:szCs w:val="22"/>
        </w:rPr>
      </w:pPr>
      <w:r>
        <w:rPr>
          <w:rFonts w:cs="Arial"/>
          <w:bCs w:val="false"/>
          <w:sz w:val="22"/>
          <w:szCs w:val="22"/>
        </w:rPr>
        <w:t>PRAZO DE EXECUÇÃO DO OBJETO E PRAZO CONTRATUAL.</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widowControl/>
        <w:numPr>
          <w:ilvl w:val="1"/>
          <w:numId w:val="3"/>
        </w:numPr>
        <w:tabs>
          <w:tab w:val="left" w:pos="851" w:leader="none"/>
        </w:tabs>
        <w:suppressAutoHyphens w:val="false"/>
        <w:spacing w:lineRule="auto" w:line="276" w:before="0" w:after="120"/>
        <w:ind w:left="0" w:hanging="0"/>
        <w:jc w:val="both"/>
        <w:rPr/>
      </w:pPr>
      <w:r>
        <w:rPr>
          <w:rFonts w:cs="Arial" w:ascii="Arial" w:hAnsi="Arial"/>
          <w:sz w:val="22"/>
          <w:szCs w:val="22"/>
        </w:rPr>
        <w:t xml:space="preserve">O Prazo de Execução do objeto será de </w:t>
      </w:r>
      <w:r>
        <w:rPr>
          <w:rFonts w:cs="Arial" w:ascii="Arial" w:hAnsi="Arial"/>
          <w:b/>
          <w:bCs/>
          <w:sz w:val="22"/>
          <w:szCs w:val="22"/>
        </w:rPr>
        <w:t>9</w:t>
      </w:r>
      <w:r>
        <w:rPr>
          <w:rFonts w:cs="Arial" w:ascii="Arial" w:hAnsi="Arial"/>
          <w:b/>
          <w:bCs/>
          <w:sz w:val="22"/>
          <w:szCs w:val="22"/>
        </w:rPr>
        <w:t>0 (</w:t>
      </w:r>
      <w:r>
        <w:rPr>
          <w:rFonts w:cs="Arial" w:ascii="Arial" w:hAnsi="Arial"/>
          <w:b/>
          <w:bCs/>
          <w:sz w:val="22"/>
          <w:szCs w:val="22"/>
        </w:rPr>
        <w:t>Noventa</w:t>
      </w:r>
      <w:r>
        <w:rPr>
          <w:rFonts w:cs="Arial" w:ascii="Arial" w:hAnsi="Arial"/>
          <w:b/>
          <w:sz w:val="22"/>
          <w:szCs w:val="22"/>
        </w:rPr>
        <w:t>) dias a contar do recebimento da Ordem de Serviço (O.S.)</w:t>
      </w:r>
      <w:r>
        <w:rPr>
          <w:rFonts w:cs="Arial" w:ascii="Arial" w:hAnsi="Arial"/>
          <w:sz w:val="22"/>
          <w:szCs w:val="22"/>
        </w:rPr>
        <w:t xml:space="preserve"> e de acordo com o cronograma físico-financeiro estabelecido. </w:t>
      </w:r>
    </w:p>
    <w:p>
      <w:pPr>
        <w:pStyle w:val="Normal"/>
        <w:widowControl/>
        <w:numPr>
          <w:ilvl w:val="1"/>
          <w:numId w:val="3"/>
        </w:numPr>
        <w:tabs>
          <w:tab w:val="left" w:pos="851" w:leader="none"/>
        </w:tabs>
        <w:suppressAutoHyphens w:val="false"/>
        <w:spacing w:lineRule="auto" w:line="276" w:before="0" w:after="120"/>
        <w:ind w:left="0" w:hanging="0"/>
        <w:jc w:val="both"/>
        <w:rPr/>
      </w:pPr>
      <w:r>
        <w:rPr>
          <w:rFonts w:cs="Arial" w:ascii="Arial" w:hAnsi="Arial"/>
          <w:sz w:val="22"/>
          <w:szCs w:val="22"/>
        </w:rPr>
        <w:t xml:space="preserve">O Prazo de Vigência Contratual será de </w:t>
      </w:r>
      <w:r>
        <w:rPr>
          <w:rFonts w:cs="Arial" w:ascii="Arial" w:hAnsi="Arial"/>
          <w:b/>
          <w:bCs/>
          <w:sz w:val="22"/>
          <w:szCs w:val="22"/>
        </w:rPr>
        <w:t>150</w:t>
      </w:r>
      <w:r>
        <w:rPr>
          <w:rFonts w:cs="Arial" w:ascii="Arial" w:hAnsi="Arial"/>
          <w:b/>
          <w:bCs/>
          <w:sz w:val="22"/>
          <w:szCs w:val="22"/>
        </w:rPr>
        <w:t xml:space="preserve"> (</w:t>
      </w:r>
      <w:r>
        <w:rPr>
          <w:rFonts w:cs="Arial" w:ascii="Arial" w:hAnsi="Arial"/>
          <w:b/>
          <w:bCs/>
          <w:sz w:val="22"/>
          <w:szCs w:val="22"/>
        </w:rPr>
        <w:t>Cento e cinquenta</w:t>
      </w:r>
      <w:r>
        <w:rPr>
          <w:rFonts w:cs="Arial" w:ascii="Arial" w:hAnsi="Arial"/>
          <w:b/>
          <w:sz w:val="22"/>
          <w:szCs w:val="22"/>
        </w:rPr>
        <w:t>) dias a contar da data da assinatura contratual.</w:t>
      </w:r>
    </w:p>
    <w:p>
      <w:pPr>
        <w:pStyle w:val="Normal"/>
        <w:widowControl/>
        <w:numPr>
          <w:ilvl w:val="1"/>
          <w:numId w:val="3"/>
        </w:numPr>
        <w:tabs>
          <w:tab w:val="left" w:pos="851" w:leader="none"/>
        </w:tabs>
        <w:suppressAutoHyphens w:val="false"/>
        <w:spacing w:lineRule="auto" w:line="276" w:before="0" w:after="120"/>
        <w:ind w:left="0" w:hanging="0"/>
        <w:jc w:val="both"/>
        <w:rPr/>
      </w:pPr>
      <w:r>
        <w:rPr>
          <w:rFonts w:cs="Arial" w:ascii="Arial" w:hAnsi="Arial"/>
          <w:sz w:val="22"/>
          <w:szCs w:val="22"/>
        </w:rPr>
        <w:t xml:space="preserve">Em caso de atraso na execução da obra, sem comprovação de condições adversas ou casos fortuitos, a empresa ficará sujeita às sanções preceituadas da Lei 8.666/93, bem como a aplicação das penalidades previstas no contrato. </w:t>
      </w:r>
    </w:p>
    <w:p>
      <w:pPr>
        <w:pStyle w:val="Normal"/>
        <w:widowControl/>
        <w:numPr>
          <w:ilvl w:val="1"/>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Os serviços de reforma serão executados concomitantemente aos serviços de ampliação da unidade conforme cronograma físico-financeiro anexo a este Termo de Referência.</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contextualSpacing/>
        <w:jc w:val="both"/>
        <w:rPr>
          <w:rFonts w:cs="Arial"/>
          <w:bCs w:val="false"/>
          <w:sz w:val="22"/>
          <w:szCs w:val="22"/>
        </w:rPr>
      </w:pPr>
      <w:bookmarkStart w:id="6" w:name="__DdeLink__518_576160097"/>
      <w:bookmarkEnd w:id="6"/>
      <w:r>
        <w:rPr>
          <w:rFonts w:cs="Arial"/>
          <w:bCs w:val="false"/>
          <w:sz w:val="22"/>
          <w:szCs w:val="22"/>
        </w:rPr>
        <w:t xml:space="preserve">DAS MEDIÇÕES. </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widowControl/>
        <w:numPr>
          <w:ilvl w:val="1"/>
          <w:numId w:val="3"/>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As medições mensais serão baseadas nas avaliações dos serviços realizados e serão feitas pela Equipe de Fiscalização, devidamente acompanhado por um ou mais representante(s) designado(s) pela Contratada.</w:t>
      </w:r>
    </w:p>
    <w:p>
      <w:pPr>
        <w:pStyle w:val="Corpodetexto"/>
        <w:widowControl/>
        <w:numPr>
          <w:ilvl w:val="1"/>
          <w:numId w:val="3"/>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O controle físico do andamento da obra será efetuado de acordo com os prazos de execução e marcos contratuais definidos no</w:t>
      </w:r>
      <w:r>
        <w:rPr>
          <w:rFonts w:cs="Arial" w:ascii="Arial" w:hAnsi="Arial"/>
          <w:b/>
          <w:sz w:val="22"/>
          <w:szCs w:val="22"/>
        </w:rPr>
        <w:t xml:space="preserve"> Cronograma Físico-Financeiro da Obra em anexo</w:t>
      </w:r>
      <w:r>
        <w:rPr>
          <w:rFonts w:cs="Arial" w:ascii="Arial" w:hAnsi="Arial"/>
          <w:sz w:val="22"/>
          <w:szCs w:val="22"/>
        </w:rPr>
        <w:t>, podendo ser adequado conforme a necessidade do Município de Itajaí verificada no decorrer das obras.</w:t>
      </w:r>
    </w:p>
    <w:p>
      <w:pPr>
        <w:pStyle w:val="Corpodetexto"/>
        <w:widowControl/>
        <w:numPr>
          <w:ilvl w:val="1"/>
          <w:numId w:val="3"/>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Dada a Ordem se Serviço pela Contratante, é obrigatório à </w:t>
      </w:r>
      <w:r>
        <w:rPr>
          <w:rFonts w:cs="Arial" w:ascii="Arial" w:hAnsi="Arial"/>
          <w:b/>
          <w:sz w:val="22"/>
          <w:szCs w:val="22"/>
        </w:rPr>
        <w:t xml:space="preserve">abertura do “Diário de Obra” ou “Registro de Ocorrências” nos Termos da Instrução Normativa 005 – CMA/2006 – </w:t>
      </w:r>
      <w:r>
        <w:rPr>
          <w:rFonts w:cs="Arial" w:ascii="Arial" w:hAnsi="Arial"/>
          <w:sz w:val="22"/>
          <w:szCs w:val="22"/>
        </w:rPr>
        <w:t xml:space="preserve">(que disciplina sobre os procedimentos para o encaminhamento dos pedidos de licitações, execução, fiscalização, recebimento provisório/definitivo e pagamento de obras e serviços de engenharia, e dá outras providências). </w:t>
      </w:r>
    </w:p>
    <w:p>
      <w:pPr>
        <w:pStyle w:val="Corpodetexto"/>
        <w:widowControl/>
        <w:numPr>
          <w:ilvl w:val="1"/>
          <w:numId w:val="3"/>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Os quantitativos de serviços efetivamente executados pela licitante vencedora serão medidos parcial e mensalmente pela </w:t>
      </w:r>
      <w:r>
        <w:rPr>
          <w:rFonts w:cs="Arial" w:ascii="Arial" w:hAnsi="Arial"/>
          <w:b/>
          <w:sz w:val="22"/>
          <w:szCs w:val="22"/>
        </w:rPr>
        <w:t>Secretaria Municipal de Educação</w:t>
      </w:r>
      <w:r>
        <w:rPr>
          <w:rFonts w:cs="Arial" w:ascii="Arial" w:hAnsi="Arial"/>
          <w:sz w:val="22"/>
          <w:szCs w:val="22"/>
        </w:rPr>
        <w:t>, lançados no Boletim de Medição, que depois de conferidos, serão assinados pelos: Responsável Técnico da licitante vencedora, pelo(s) Fiscal(is) devidamente designado(s) pela Contratante.</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3"/>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contextualSpacing/>
        <w:jc w:val="both"/>
        <w:rPr>
          <w:rFonts w:cs="Arial"/>
          <w:bCs w:val="false"/>
          <w:sz w:val="22"/>
          <w:szCs w:val="22"/>
        </w:rPr>
      </w:pPr>
      <w:r>
        <w:rPr>
          <w:rFonts w:cs="Arial"/>
          <w:bCs w:val="false"/>
          <w:sz w:val="22"/>
          <w:szCs w:val="22"/>
        </w:rPr>
        <w:t>DOS CRITÉRIOS E FORMA DE PAGAMENTO.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eastAsia="Calibri" w:cs="Arial" w:ascii="Arial" w:hAnsi="Arial"/>
          <w:sz w:val="22"/>
          <w:szCs w:val="22"/>
        </w:rPr>
        <w:t>14.1. Os pagamentos se darão por boletim de medição mensal, in loco do serviço executado e contra apresentação de nota fiscal de prestação de serviços, e os mesmos serão efetuados após o recebimento da Nota Fiscal/Fatura conforme percentuais estabelecidos no cronograma Físico-Financeiro,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pPr>
        <w:pStyle w:val="Normal"/>
        <w:tabs>
          <w:tab w:val="left" w:pos="851" w:leader="none"/>
        </w:tabs>
        <w:spacing w:lineRule="auto" w:line="276" w:before="0" w:after="120"/>
        <w:jc w:val="both"/>
        <w:rPr/>
      </w:pPr>
      <w:r>
        <w:rPr>
          <w:rFonts w:eastAsia="Calibri" w:cs="Arial" w:ascii="Arial" w:hAnsi="Arial"/>
          <w:sz w:val="22"/>
          <w:szCs w:val="22"/>
        </w:rPr>
        <w:t>14.2. 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pPr>
        <w:pStyle w:val="Normal"/>
        <w:tabs>
          <w:tab w:val="left" w:pos="851" w:leader="none"/>
        </w:tabs>
        <w:spacing w:lineRule="auto" w:line="276" w:before="0" w:after="120"/>
        <w:jc w:val="both"/>
        <w:rPr/>
      </w:pPr>
      <w:r>
        <w:rPr>
          <w:rFonts w:eastAsia="Calibri" w:cs="Arial" w:ascii="Arial" w:hAnsi="Arial"/>
          <w:sz w:val="22"/>
          <w:szCs w:val="22"/>
        </w:rPr>
        <w:t xml:space="preserve">14.3. 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w:t>
      </w:r>
      <w:r>
        <w:rPr>
          <w:rFonts w:eastAsia="Calibri" w:cs="Arial" w:ascii="Arial" w:hAnsi="Arial"/>
          <w:b/>
          <w:sz w:val="22"/>
          <w:szCs w:val="22"/>
        </w:rPr>
        <w:t xml:space="preserve">alíquota de INSS </w:t>
      </w:r>
      <w:r>
        <w:rPr>
          <w:rFonts w:eastAsia="Calibri" w:cs="Arial" w:ascii="Arial" w:hAnsi="Arial"/>
          <w:sz w:val="22"/>
          <w:szCs w:val="22"/>
        </w:rPr>
        <w:t xml:space="preserve">conforme </w:t>
      </w:r>
      <w:r>
        <w:rPr>
          <w:rFonts w:eastAsia="Calibri" w:cs="Arial" w:ascii="Arial" w:hAnsi="Arial"/>
          <w:b/>
          <w:sz w:val="22"/>
          <w:szCs w:val="22"/>
        </w:rPr>
        <w:t>Lei Federal RBF 971 (Art. 450 e 451)</w:t>
      </w:r>
      <w:r>
        <w:rPr>
          <w:rFonts w:eastAsia="Calibri" w:cs="Arial" w:ascii="Arial" w:hAnsi="Arial"/>
          <w:sz w:val="22"/>
          <w:szCs w:val="22"/>
        </w:rPr>
        <w:t>.</w:t>
      </w:r>
    </w:p>
    <w:p>
      <w:pPr>
        <w:pStyle w:val="Normal"/>
        <w:tabs>
          <w:tab w:val="left" w:pos="851" w:leader="none"/>
        </w:tabs>
        <w:spacing w:lineRule="auto" w:line="276" w:before="0" w:after="120"/>
        <w:jc w:val="both"/>
        <w:rPr/>
      </w:pPr>
      <w:r>
        <w:rPr>
          <w:rFonts w:eastAsia="Calibri" w:cs="Arial" w:ascii="Arial" w:hAnsi="Arial"/>
          <w:sz w:val="22"/>
          <w:szCs w:val="22"/>
        </w:rPr>
        <w:t>14.4</w:t>
        <w:tab/>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14.5.  O primeiro pagamento somente será efetuado após a comprovação por parte da licitante vencedora de que o contrato teve </w:t>
      </w:r>
      <w:r>
        <w:rPr>
          <w:rFonts w:cs="Arial" w:ascii="Arial" w:hAnsi="Arial"/>
          <w:b/>
          <w:sz w:val="22"/>
          <w:szCs w:val="22"/>
        </w:rPr>
        <w:t>Anotação de Responsabilidade Técnica</w:t>
      </w:r>
      <w:r>
        <w:rPr>
          <w:rFonts w:cs="Arial" w:ascii="Arial" w:hAnsi="Arial"/>
          <w:sz w:val="22"/>
          <w:szCs w:val="22"/>
        </w:rPr>
        <w:t xml:space="preserve"> </w:t>
      </w:r>
      <w:r>
        <w:rPr>
          <w:rFonts w:cs="Arial" w:ascii="Arial" w:hAnsi="Arial"/>
          <w:b/>
          <w:sz w:val="22"/>
          <w:szCs w:val="22"/>
        </w:rPr>
        <w:t>– ART</w:t>
      </w:r>
      <w:r>
        <w:rPr>
          <w:rFonts w:cs="Arial" w:ascii="Arial" w:hAnsi="Arial"/>
          <w:sz w:val="22"/>
          <w:szCs w:val="22"/>
        </w:rPr>
        <w:t xml:space="preserve"> ou </w:t>
      </w:r>
      <w:r>
        <w:rPr>
          <w:rFonts w:cs="Arial" w:ascii="Arial" w:hAnsi="Arial"/>
          <w:b/>
          <w:sz w:val="22"/>
          <w:szCs w:val="22"/>
        </w:rPr>
        <w:t>Registro de Responsabilidade Técnica</w:t>
      </w:r>
      <w:r>
        <w:rPr>
          <w:rFonts w:cs="Arial" w:ascii="Arial" w:hAnsi="Arial"/>
          <w:sz w:val="22"/>
          <w:szCs w:val="22"/>
        </w:rPr>
        <w:t xml:space="preserve"> </w:t>
      </w:r>
      <w:r>
        <w:rPr>
          <w:rFonts w:cs="Arial" w:ascii="Arial" w:hAnsi="Arial"/>
          <w:b/>
          <w:sz w:val="22"/>
          <w:szCs w:val="22"/>
        </w:rPr>
        <w:t>- RRT</w:t>
      </w:r>
      <w:r>
        <w:rPr>
          <w:rFonts w:cs="Arial" w:ascii="Arial" w:hAnsi="Arial"/>
          <w:sz w:val="22"/>
          <w:szCs w:val="22"/>
        </w:rPr>
        <w:t>, efetuada no CREA-SC ou CAU-SC.</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14.6. A licitante vencedora deverá apresentar a documentação de cobrança, obrigatoriamente no Município </w:t>
      </w:r>
      <w:r>
        <w:rPr>
          <w:rFonts w:cs="Arial" w:ascii="Arial" w:hAnsi="Arial"/>
          <w:bCs/>
          <w:sz w:val="22"/>
          <w:szCs w:val="22"/>
        </w:rPr>
        <w:t>de Itajaí</w:t>
      </w:r>
      <w:r>
        <w:rPr>
          <w:rFonts w:cs="Arial" w:ascii="Arial" w:hAnsi="Arial"/>
          <w:sz w:val="22"/>
          <w:szCs w:val="22"/>
        </w:rPr>
        <w:t>, com o valor expresso em moeda corrente nacional, mediante a emissão de nota fiscal, observadas as exigências da legislação tributária.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14.7. </w:t>
      </w:r>
      <w:bookmarkStart w:id="7" w:name="_Ref128369793"/>
      <w:bookmarkEnd w:id="7"/>
      <w:r>
        <w:rPr>
          <w:rFonts w:cs="Arial" w:ascii="Arial" w:hAnsi="Arial"/>
          <w:sz w:val="22"/>
          <w:szCs w:val="22"/>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pPr>
        <w:pStyle w:val="Corpodetexto"/>
        <w:tabs>
          <w:tab w:val="left" w:pos="851" w:leader="none"/>
        </w:tabs>
        <w:spacing w:lineRule="auto" w:line="276"/>
        <w:jc w:val="both"/>
        <w:rPr/>
      </w:pPr>
      <w:r>
        <w:rPr>
          <w:rFonts w:cs="Arial" w:ascii="Arial" w:hAnsi="Arial"/>
          <w:sz w:val="22"/>
          <w:szCs w:val="22"/>
        </w:rPr>
        <w:t>14.8. 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pPr>
        <w:pStyle w:val="Corpodetexto"/>
        <w:tabs>
          <w:tab w:val="left" w:pos="851" w:leader="none"/>
        </w:tabs>
        <w:spacing w:lineRule="auto" w:line="276"/>
        <w:jc w:val="both"/>
        <w:rPr/>
      </w:pPr>
      <w:r>
        <w:rPr>
          <w:rFonts w:cs="Arial" w:ascii="Arial" w:hAnsi="Arial"/>
          <w:sz w:val="22"/>
          <w:szCs w:val="22"/>
        </w:rPr>
        <w:t xml:space="preserve"> </w:t>
      </w:r>
      <w:r>
        <w:rPr>
          <w:rFonts w:cs="Arial" w:ascii="Arial" w:hAnsi="Arial"/>
          <w:sz w:val="22"/>
          <w:szCs w:val="22"/>
        </w:rPr>
        <w:t xml:space="preserve">14.9. Caso não haja a comprovação do recolhimento das obrigações sociais o                            pagamento será suspenso até comprovada sua regularização. </w:t>
      </w:r>
    </w:p>
    <w:p>
      <w:pPr>
        <w:pStyle w:val="Corpodetexto"/>
        <w:tabs>
          <w:tab w:val="left" w:pos="851" w:leader="none"/>
        </w:tabs>
        <w:spacing w:lineRule="auto" w:line="276"/>
        <w:rPr/>
      </w:pPr>
      <w:r>
        <w:rPr>
          <w:rFonts w:cs="Arial" w:ascii="Arial" w:hAnsi="Arial"/>
          <w:sz w:val="22"/>
          <w:szCs w:val="22"/>
        </w:rPr>
        <w:t xml:space="preserve"> </w:t>
      </w:r>
      <w:r>
        <w:rPr>
          <w:rFonts w:cs="Arial" w:ascii="Arial" w:hAnsi="Arial"/>
          <w:sz w:val="22"/>
          <w:szCs w:val="22"/>
        </w:rPr>
        <w:t>14.10. A última parcela somente será liberada, depois de cumpridas todas as condições exigidas no instrumento contratual a ser firmado com a licitante vencedora.</w:t>
      </w:r>
    </w:p>
    <w:p>
      <w:pPr>
        <w:pStyle w:val="Corpodetexto"/>
        <w:tabs>
          <w:tab w:val="left" w:pos="851" w:leader="none"/>
        </w:tabs>
        <w:spacing w:lineRule="auto" w:line="276"/>
        <w:rPr>
          <w:rStyle w:val="Annotationreference"/>
          <w:rFonts w:ascii="Arial" w:hAnsi="Arial" w:cs="Arial"/>
          <w:bCs/>
          <w:vanish/>
          <w:sz w:val="22"/>
          <w:szCs w:val="22"/>
        </w:rPr>
      </w:pPr>
      <w:r>
        <w:rPr>
          <w:rFonts w:cs="Arial" w:ascii="Arial" w:hAnsi="Arial"/>
          <w:bCs/>
          <w:vanish/>
          <w:sz w:val="22"/>
          <w:szCs w:val="22"/>
        </w:rPr>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contextualSpacing/>
        <w:jc w:val="both"/>
        <w:rPr/>
      </w:pPr>
      <w:bookmarkStart w:id="8" w:name="_Toc176847504"/>
      <w:bookmarkStart w:id="9" w:name="_Toc176842631"/>
      <w:bookmarkStart w:id="10" w:name="_Toc176842561"/>
      <w:bookmarkStart w:id="11" w:name="_Toc176842519"/>
      <w:r>
        <w:rPr>
          <w:rFonts w:cs="Arial"/>
          <w:bCs w:val="false"/>
          <w:sz w:val="22"/>
          <w:szCs w:val="22"/>
        </w:rPr>
        <w:t>15. DAS CONDIÇÕES DE SEGURANÇA DO TRABALHO</w:t>
      </w:r>
      <w:bookmarkEnd w:id="8"/>
      <w:bookmarkEnd w:id="9"/>
      <w:bookmarkEnd w:id="10"/>
      <w:bookmarkEnd w:id="11"/>
      <w:r>
        <w:rPr>
          <w:rFonts w:cs="Arial"/>
          <w:bCs w:val="false"/>
          <w:sz w:val="22"/>
          <w:szCs w:val="22"/>
        </w:rPr>
        <w:t>.</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pPr>
      <w:r>
        <w:rPr>
          <w:rFonts w:cs="Arial" w:ascii="Arial" w:hAnsi="Arial"/>
          <w:sz w:val="22"/>
          <w:szCs w:val="22"/>
        </w:rPr>
        <w:t xml:space="preserve">15.1. Deverão ser observadas pela licitante vencedora, todas as condições de segurança e higiene, medicina e meio ambiente do trabalho, necessária a preservação da integridade física e saúde de seus colaboradores, do patrimônio do Município </w:t>
      </w:r>
      <w:r>
        <w:rPr>
          <w:rFonts w:cs="Arial" w:ascii="Arial" w:hAnsi="Arial"/>
          <w:bCs/>
          <w:sz w:val="22"/>
          <w:szCs w:val="22"/>
        </w:rPr>
        <w:t>de Itajaí</w:t>
      </w:r>
      <w:r>
        <w:rPr>
          <w:rFonts w:cs="Arial" w:ascii="Arial" w:hAnsi="Arial"/>
          <w:sz w:val="22"/>
          <w:szCs w:val="22"/>
        </w:rPr>
        <w:t xml:space="preserve"> e ao público afeto e dos materiais envolvidos na obra e/ou serviço, de acordo com as normas regulamentadas pelo Ministério do Trabalho, bem como outros dispositivos legais e normas específicas do Município</w:t>
      </w:r>
      <w:r>
        <w:rPr>
          <w:rFonts w:cs="Arial" w:ascii="Arial" w:hAnsi="Arial"/>
          <w:bCs/>
          <w:sz w:val="22"/>
          <w:szCs w:val="22"/>
        </w:rPr>
        <w:t xml:space="preserve"> de Itajaí</w:t>
      </w:r>
      <w:r>
        <w:rPr>
          <w:rFonts w:cs="Arial" w:ascii="Arial" w:hAnsi="Arial"/>
          <w:sz w:val="22"/>
          <w:szCs w:val="22"/>
        </w:rPr>
        <w:t>.</w:t>
      </w:r>
    </w:p>
    <w:p>
      <w:pPr>
        <w:pStyle w:val="Corpodetexto"/>
        <w:tabs>
          <w:tab w:val="left" w:pos="851" w:leader="none"/>
        </w:tabs>
        <w:spacing w:lineRule="auto" w:line="276"/>
        <w:jc w:val="both"/>
        <w:rPr/>
      </w:pPr>
      <w:r>
        <w:rPr>
          <w:rFonts w:cs="Arial" w:ascii="Arial" w:hAnsi="Arial"/>
          <w:sz w:val="22"/>
          <w:szCs w:val="22"/>
        </w:rPr>
        <w:t>15.2. O Município</w:t>
      </w:r>
      <w:r>
        <w:rPr>
          <w:rFonts w:cs="Arial" w:ascii="Arial" w:hAnsi="Arial"/>
          <w:bCs/>
          <w:sz w:val="22"/>
          <w:szCs w:val="22"/>
        </w:rPr>
        <w:t xml:space="preserve"> de Itajaí</w:t>
      </w:r>
      <w:r>
        <w:rPr>
          <w:rFonts w:cs="Arial" w:ascii="Arial" w:hAnsi="Arial"/>
          <w:sz w:val="22"/>
          <w:szCs w:val="22"/>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15.3. A licitante vencedora se responsabilizará, ainda, por atrasos ou prejuízos decorrentes da suspensão dos trabalhos quando não acatar a legislação básica vigente na época, no que se referir à Engenharia de Segurança e Medicina do Trabalho.</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contextualSpacing/>
        <w:jc w:val="both"/>
        <w:rPr>
          <w:rFonts w:cs="Arial"/>
          <w:bCs w:val="false"/>
          <w:sz w:val="22"/>
          <w:szCs w:val="22"/>
        </w:rPr>
      </w:pPr>
      <w:bookmarkStart w:id="12" w:name="_Toc176847505"/>
      <w:bookmarkStart w:id="13" w:name="_Toc176842632"/>
      <w:bookmarkStart w:id="14" w:name="_Toc176842562"/>
      <w:bookmarkStart w:id="15" w:name="_Toc176842520"/>
      <w:r>
        <w:rPr>
          <w:rFonts w:cs="Arial"/>
          <w:bCs w:val="false"/>
          <w:sz w:val="22"/>
          <w:szCs w:val="22"/>
        </w:rPr>
        <w:t>DA PARALISAÇÃO DOS SERVIÇOS</w:t>
      </w:r>
      <w:bookmarkEnd w:id="12"/>
      <w:bookmarkEnd w:id="13"/>
      <w:bookmarkEnd w:id="14"/>
      <w:bookmarkEnd w:id="15"/>
      <w:r>
        <w:rPr>
          <w:rFonts w:cs="Arial"/>
          <w:bCs w:val="false"/>
          <w:sz w:val="22"/>
          <w:szCs w:val="22"/>
        </w:rPr>
        <w:t>.</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Corpodetexto"/>
        <w:tabs>
          <w:tab w:val="left" w:pos="851" w:leader="none"/>
        </w:tabs>
        <w:spacing w:lineRule="auto" w:line="276"/>
        <w:jc w:val="both"/>
        <w:rPr/>
      </w:pPr>
      <w:r>
        <w:rPr>
          <w:rFonts w:cs="Arial" w:ascii="Arial" w:hAnsi="Arial"/>
          <w:sz w:val="22"/>
          <w:szCs w:val="22"/>
        </w:rPr>
        <w:t>16.1. O M</w:t>
      </w:r>
      <w:r>
        <w:rPr>
          <w:rFonts w:cs="Arial" w:ascii="Arial" w:hAnsi="Arial"/>
          <w:bCs/>
          <w:sz w:val="22"/>
          <w:szCs w:val="22"/>
        </w:rPr>
        <w:t>unicípio de Itajaí</w:t>
      </w:r>
      <w:r>
        <w:rPr>
          <w:rFonts w:cs="Arial" w:ascii="Arial" w:hAnsi="Arial"/>
          <w:sz w:val="22"/>
          <w:szCs w:val="22"/>
        </w:rPr>
        <w:t>, por conveniência administrativa ou técnica, se reserva o direito de paralisar, a qualquer tempo, a execução dos serviços, cientificando oficialmente à licitante vencedora tal decisão, nos prazos e termos permitidos em lei.</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contextualSpacing/>
        <w:jc w:val="both"/>
        <w:rPr>
          <w:rFonts w:cs="Arial"/>
          <w:bCs w:val="false"/>
          <w:sz w:val="22"/>
          <w:szCs w:val="22"/>
        </w:rPr>
      </w:pPr>
      <w:bookmarkStart w:id="16" w:name="_Toc176847506"/>
      <w:bookmarkStart w:id="17" w:name="_Toc176842633"/>
      <w:bookmarkStart w:id="18" w:name="_Toc176842563"/>
      <w:bookmarkStart w:id="19" w:name="_Toc176842521"/>
      <w:r>
        <w:rPr>
          <w:rFonts w:cs="Arial"/>
          <w:bCs w:val="false"/>
          <w:sz w:val="22"/>
          <w:szCs w:val="22"/>
        </w:rPr>
        <w:t>DO RECEBIMENTO DA OBRA, SERVIÇOS E MATERIAIS</w:t>
      </w:r>
      <w:bookmarkEnd w:id="16"/>
      <w:bookmarkEnd w:id="17"/>
      <w:bookmarkEnd w:id="18"/>
      <w:bookmarkEnd w:id="19"/>
      <w:r>
        <w:rPr>
          <w:rFonts w:cs="Arial"/>
          <w:bCs w:val="false"/>
          <w:sz w:val="22"/>
          <w:szCs w:val="22"/>
        </w:rPr>
        <w:t>.</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pPr>
      <w:r>
        <w:rPr>
          <w:rFonts w:cs="Arial" w:ascii="Arial" w:hAnsi="Arial"/>
          <w:sz w:val="22"/>
          <w:szCs w:val="22"/>
        </w:rPr>
        <w:t xml:space="preserve">17.1. Para o recebimento das obras e serviços e dos materiais fornecidos será através da comissão de recebimento estabelecida pela </w:t>
      </w:r>
      <w:r>
        <w:rPr>
          <w:rFonts w:cs="Arial" w:ascii="Arial" w:hAnsi="Arial"/>
          <w:b/>
          <w:sz w:val="22"/>
          <w:szCs w:val="22"/>
        </w:rPr>
        <w:t>PORTARIA N° 2383/19</w:t>
      </w:r>
      <w:r>
        <w:rPr>
          <w:rFonts w:cs="Arial" w:ascii="Arial" w:hAnsi="Arial"/>
          <w:sz w:val="22"/>
          <w:szCs w:val="22"/>
        </w:rPr>
        <w:t xml:space="preserve">, composta por 03 (três) membros/técnicos da Diretoria de Infraestrutura Escolar, que vistoriará as obras e serviços e emitirá </w:t>
      </w:r>
      <w:r>
        <w:rPr>
          <w:rFonts w:cs="Arial" w:ascii="Arial" w:hAnsi="Arial"/>
          <w:b/>
          <w:sz w:val="22"/>
          <w:szCs w:val="22"/>
        </w:rPr>
        <w:t>TERMO DE RECEBIMENTO DEFINITIVO</w:t>
      </w:r>
      <w:r>
        <w:rPr>
          <w:rFonts w:cs="Arial" w:ascii="Arial" w:hAnsi="Arial"/>
          <w:sz w:val="22"/>
          <w:szCs w:val="22"/>
        </w:rPr>
        <w:t xml:space="preserve">, no prazo não superior a 90 (noventa) dias após o decurso do prazo de vistoria que comprove a adequação do objeto aos termos contratuais, observado o disposto no art. 69 da lei 8.666/93, ou </w:t>
      </w:r>
      <w:r>
        <w:rPr>
          <w:rFonts w:cs="Arial" w:ascii="Arial" w:hAnsi="Arial"/>
          <w:b/>
          <w:sz w:val="22"/>
          <w:szCs w:val="22"/>
        </w:rPr>
        <w:t>PROVISÓRIO</w:t>
      </w:r>
      <w:r>
        <w:rPr>
          <w:rFonts w:cs="Arial" w:ascii="Arial" w:hAnsi="Arial"/>
          <w:sz w:val="22"/>
          <w:szCs w:val="22"/>
        </w:rPr>
        <w:t>, em até 15 (quinze) dias da comunicação escrita da CONTRATADA, a seu critério.</w:t>
      </w:r>
    </w:p>
    <w:p>
      <w:pPr>
        <w:pStyle w:val="Corpodetexto"/>
        <w:tabs>
          <w:tab w:val="left" w:pos="851" w:leader="none"/>
        </w:tabs>
        <w:spacing w:lineRule="auto" w:line="276"/>
        <w:jc w:val="both"/>
        <w:rPr/>
      </w:pPr>
      <w:r>
        <w:rPr>
          <w:rFonts w:cs="Arial" w:ascii="Arial" w:hAnsi="Arial"/>
          <w:sz w:val="22"/>
          <w:szCs w:val="22"/>
        </w:rPr>
        <w:t>17.2. O termo de recebimento definitivo das obras e serviços, não isenta a licitante vencedora das cominações previstas na legislação civil em vigor, dentro dos limites estabelecidos pela lei ou pelo contrato.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contextualSpacing/>
        <w:jc w:val="both"/>
        <w:rPr>
          <w:sz w:val="22"/>
          <w:szCs w:val="22"/>
        </w:rPr>
      </w:pPr>
      <w:r>
        <w:rPr>
          <w:rFonts w:cs="Arial"/>
          <w:bCs w:val="false"/>
          <w:sz w:val="22"/>
          <w:szCs w:val="22"/>
        </w:rPr>
        <w:t>DA RESCISÃO DO CONTRATO.</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pPr>
      <w:r>
        <w:rPr>
          <w:rFonts w:cs="Arial" w:ascii="Arial" w:hAnsi="Arial"/>
          <w:sz w:val="22"/>
          <w:szCs w:val="22"/>
        </w:rPr>
        <w:t>18.1. O contrato a ser firmado com a licitante vencedora poderá ser rescindido de pleno direito pelos motivos previstos nos artigos 77, 78, 79 e 80, da lei nº 8.666/63 e suas alterações.</w:t>
      </w:r>
      <w:r>
        <w:rPr>
          <w:rFonts w:cs="Arial" w:ascii="Arial" w:hAnsi="Arial"/>
          <w:sz w:val="22"/>
          <w:szCs w:val="22"/>
          <w:lang w:eastAsia="ar-SA"/>
        </w:rPr>
        <w:t xml:space="preserve"> </w:t>
      </w:r>
      <w:r>
        <w:rPr>
          <w:rFonts w:cs="Arial" w:ascii="Arial" w:hAnsi="Arial"/>
          <w:sz w:val="22"/>
          <w:szCs w:val="22"/>
        </w:rPr>
        <w:t>A falta de pagamento das obrigações patronais por parte da licitante vencedora sujeitará à rescisão sumária do contrato.</w:t>
      </w:r>
    </w:p>
    <w:p>
      <w:pPr>
        <w:pStyle w:val="Corpodetexto"/>
        <w:tabs>
          <w:tab w:val="left" w:pos="851" w:leader="none"/>
        </w:tabs>
        <w:spacing w:lineRule="auto" w:line="276"/>
        <w:jc w:val="both"/>
        <w:rPr/>
      </w:pPr>
      <w:r>
        <w:rPr>
          <w:rFonts w:cs="Arial" w:ascii="Arial" w:hAnsi="Arial"/>
          <w:sz w:val="22"/>
          <w:szCs w:val="22"/>
        </w:rPr>
        <w:t>18.2. Sob nenhum aspecto será admitido, por parte da licitante vencedora, exceção de contrato não cumprido, em face da Administração, exceto nos casos admitidos pela Lei nº 8.666/93.</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contextualSpacing/>
        <w:jc w:val="both"/>
        <w:rPr/>
      </w:pPr>
      <w:r>
        <w:rPr>
          <w:rFonts w:cs="Arial"/>
          <w:bCs w:val="false"/>
          <w:sz w:val="22"/>
          <w:szCs w:val="22"/>
        </w:rPr>
        <w:t>19. CONSIDERAÇÕES GERAIS A CONTRATADA.</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19.1. Assumir inteira responsabilidade civil, administrativa e penal por quaisquer danos e prejuízos materiais ou pessoais causados pela contratada, seus empregados ou prepostos, à contratante ou a terceiros.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19.2. Aceitar, nas mesmas condições contratuais, e estimativas dos preços, os acréscimos ou supressões que se fizerem necessárias nos serviços até 50% (cinquenta por cento) do valor estimado inicialmente.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19.3. Manter durante toda a execução do contrato, a compatibilidade com as obrigações assumidas, bem como as condições de habilitação e qualificação exigida para a contratação.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19.4. Cumprir o cronograma de execução dos serviços, justificando sempre eventuais atrasos e reajustando caso seja necessário e/ou solicitado pela contratante.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19.5. Obedecer às exigências contidas no projeto de engenharia, planilha orçamentária, memorial descritivo e demais anexos.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19.6. Acompanhar a execução dos serviços de acordo com o proposto no projeto de engenharia, planilha orçamentária, memoriais descritivos e demais anexos.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19.7. Fornecimento de mão de obra especializada, qualificada e capacitada.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19.8. Fornecer materiais de primeira qualidade.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19.9. Responsabilidade pela segurança dos empregados durante o período da obra.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 xml:space="preserve">19.10. Solicitar o pedido das instalações provisórias de água e energia elétrica para </w:t>
      </w:r>
      <w:r>
        <w:rPr>
          <w:rFonts w:eastAsia="Calibri" w:cs="Arial" w:ascii="Arial" w:hAnsi="Arial"/>
          <w:b/>
          <w:sz w:val="22"/>
          <w:szCs w:val="22"/>
        </w:rPr>
        <w:t>SEMASA</w:t>
      </w:r>
      <w:r>
        <w:rPr>
          <w:rFonts w:eastAsia="Calibri" w:cs="Arial" w:ascii="Arial" w:hAnsi="Arial"/>
          <w:sz w:val="22"/>
          <w:szCs w:val="22"/>
        </w:rPr>
        <w:t xml:space="preserve"> e </w:t>
      </w:r>
      <w:r>
        <w:rPr>
          <w:rFonts w:eastAsia="Calibri" w:cs="Arial" w:ascii="Arial" w:hAnsi="Arial"/>
          <w:b/>
          <w:sz w:val="22"/>
          <w:szCs w:val="22"/>
        </w:rPr>
        <w:t>CELESC</w:t>
      </w:r>
      <w:r>
        <w:rPr>
          <w:rFonts w:eastAsia="Calibri" w:cs="Arial" w:ascii="Arial" w:hAnsi="Arial"/>
          <w:sz w:val="22"/>
          <w:szCs w:val="22"/>
        </w:rPr>
        <w:t xml:space="preserve"> respectivamente em nome da </w:t>
      </w:r>
      <w:r>
        <w:rPr>
          <w:rFonts w:eastAsia="Calibri" w:cs="Arial" w:ascii="Arial" w:hAnsi="Arial"/>
          <w:b/>
          <w:sz w:val="22"/>
          <w:szCs w:val="22"/>
        </w:rPr>
        <w:t>EMPRESA</w:t>
      </w:r>
      <w:r>
        <w:rPr>
          <w:rFonts w:eastAsia="Calibri" w:cs="Arial" w:ascii="Arial" w:hAnsi="Arial"/>
          <w:sz w:val="22"/>
          <w:szCs w:val="22"/>
        </w:rPr>
        <w:t xml:space="preserve"> </w:t>
      </w:r>
      <w:r>
        <w:rPr>
          <w:rFonts w:eastAsia="Calibri" w:cs="Arial" w:ascii="Arial" w:hAnsi="Arial"/>
          <w:b/>
          <w:sz w:val="22"/>
          <w:szCs w:val="22"/>
        </w:rPr>
        <w:t xml:space="preserve">CONTRATADA </w:t>
      </w:r>
      <w:r>
        <w:rPr>
          <w:rFonts w:eastAsia="Calibri" w:cs="Arial" w:ascii="Arial" w:hAnsi="Arial"/>
          <w:sz w:val="22"/>
          <w:szCs w:val="22"/>
        </w:rPr>
        <w:t>caso necessário.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19.11. Todas as despesas necessárias à execução do objeto desta licitação, tais como: Pessoal; Obrigações Trabalhistas; Pagamentos das faturas de</w:t>
      </w:r>
      <w:r>
        <w:rPr>
          <w:rFonts w:eastAsia="Calibri" w:cs="Arial" w:ascii="Arial" w:hAnsi="Arial"/>
          <w:b/>
          <w:sz w:val="22"/>
          <w:szCs w:val="22"/>
        </w:rPr>
        <w:t xml:space="preserve"> ENERGIA ELÉTRICA </w:t>
      </w:r>
      <w:r>
        <w:rPr>
          <w:rFonts w:eastAsia="Calibri" w:cs="Arial" w:ascii="Arial" w:hAnsi="Arial"/>
          <w:sz w:val="22"/>
          <w:szCs w:val="22"/>
        </w:rPr>
        <w:t>e</w:t>
      </w:r>
      <w:r>
        <w:rPr>
          <w:rFonts w:eastAsia="Calibri" w:cs="Arial" w:ascii="Arial" w:hAnsi="Arial"/>
          <w:b/>
          <w:sz w:val="22"/>
          <w:szCs w:val="22"/>
        </w:rPr>
        <w:t xml:space="preserve"> ÁGUA </w:t>
      </w:r>
      <w:r>
        <w:rPr>
          <w:rFonts w:eastAsia="Calibri" w:cs="Arial" w:ascii="Arial" w:hAnsi="Arial"/>
          <w:sz w:val="22"/>
          <w:szCs w:val="22"/>
        </w:rPr>
        <w:t>as quais se fará em nome da empresa contratada até o recebimento da obra; Obrigações Previdenciárias, Fiscais, Securitárias e etc., correrão, exclusivamente, às custas do proponente vencedor.</w:t>
      </w:r>
    </w:p>
    <w:p>
      <w:pPr>
        <w:pStyle w:val="Normal"/>
        <w:tabs>
          <w:tab w:val="left" w:pos="851" w:leader="none"/>
        </w:tabs>
        <w:spacing w:lineRule="auto" w:line="276" w:before="0" w:after="120"/>
        <w:jc w:val="both"/>
        <w:rPr/>
      </w:pPr>
      <w:r>
        <w:rPr>
          <w:rFonts w:eastAsia="Calibri" w:cs="Arial" w:ascii="Arial" w:hAnsi="Arial"/>
          <w:sz w:val="22"/>
          <w:szCs w:val="22"/>
        </w:rPr>
        <w:t xml:space="preserve">19.12. Indicar o profissional </w:t>
      </w:r>
      <w:r>
        <w:rPr>
          <w:rFonts w:eastAsia="Calibri" w:cs="Arial" w:ascii="Arial" w:hAnsi="Arial"/>
          <w:b/>
          <w:sz w:val="22"/>
          <w:szCs w:val="22"/>
        </w:rPr>
        <w:t>“PREPOSTO”</w:t>
      </w:r>
      <w:r>
        <w:rPr>
          <w:rFonts w:eastAsia="Calibri" w:cs="Arial" w:ascii="Arial" w:hAnsi="Arial"/>
          <w:sz w:val="22"/>
          <w:szCs w:val="22"/>
        </w:rPr>
        <w:t xml:space="preserve"> para dirigir a execução dos trabalhos.</w:t>
      </w:r>
    </w:p>
    <w:p>
      <w:pPr>
        <w:pStyle w:val="Normal"/>
        <w:tabs>
          <w:tab w:val="left" w:pos="851" w:leader="none"/>
        </w:tabs>
        <w:spacing w:lineRule="auto" w:line="276" w:before="0" w:after="120"/>
        <w:jc w:val="both"/>
        <w:rPr/>
      </w:pPr>
      <w:r>
        <w:rPr>
          <w:rFonts w:eastAsia="Calibri" w:cs="Arial" w:ascii="Arial" w:hAnsi="Arial"/>
          <w:sz w:val="22"/>
          <w:szCs w:val="22"/>
        </w:rPr>
        <w:t xml:space="preserve">19.13. Manter </w:t>
      </w:r>
      <w:r>
        <w:rPr>
          <w:rFonts w:eastAsia="Calibri" w:cs="Arial" w:ascii="Arial" w:hAnsi="Arial"/>
          <w:b/>
          <w:sz w:val="22"/>
          <w:szCs w:val="22"/>
        </w:rPr>
        <w:t>DIÁRIO DE OBRAS</w:t>
      </w:r>
      <w:r>
        <w:rPr>
          <w:rFonts w:eastAsia="Calibri" w:cs="Arial" w:ascii="Arial" w:hAnsi="Arial"/>
          <w:sz w:val="22"/>
          <w:szCs w:val="22"/>
        </w:rPr>
        <w:t xml:space="preserve"> devidamente atualizado durante a execução da obra e </w:t>
      </w:r>
      <w:r>
        <w:rPr>
          <w:rFonts w:eastAsia="Calibri" w:cs="Arial" w:ascii="Arial" w:hAnsi="Arial"/>
          <w:b/>
          <w:sz w:val="22"/>
          <w:szCs w:val="22"/>
        </w:rPr>
        <w:t>PRESENTE NO CANTEIRO DE OBRAS E DE FÁCIL ACESSO PARA COM A FISCALIZAÇÃO</w:t>
      </w:r>
      <w:r>
        <w:rPr>
          <w:rFonts w:eastAsia="Calibri" w:cs="Arial" w:ascii="Arial" w:hAnsi="Arial"/>
          <w:sz w:val="22"/>
          <w:szCs w:val="22"/>
        </w:rPr>
        <w:t>.</w:t>
      </w:r>
    </w:p>
    <w:p>
      <w:pPr>
        <w:pStyle w:val="Normal"/>
        <w:tabs>
          <w:tab w:val="left" w:pos="851" w:leader="none"/>
        </w:tabs>
        <w:spacing w:lineRule="auto" w:line="276" w:before="0" w:after="120"/>
        <w:jc w:val="both"/>
        <w:rPr/>
      </w:pPr>
      <w:r>
        <w:rPr>
          <w:rFonts w:eastAsia="Calibri" w:cs="Arial" w:ascii="Arial" w:hAnsi="Arial"/>
          <w:sz w:val="22"/>
          <w:szCs w:val="22"/>
        </w:rPr>
        <w:t xml:space="preserve">19.14. </w:t>
      </w:r>
      <w:r>
        <w:rPr>
          <w:rFonts w:eastAsia="Calibri" w:cs="Arial" w:ascii="Arial" w:hAnsi="Arial"/>
          <w:b/>
          <w:sz w:val="22"/>
          <w:szCs w:val="22"/>
        </w:rPr>
        <w:t>MANTER</w:t>
      </w:r>
      <w:r>
        <w:rPr>
          <w:rFonts w:eastAsia="Calibri" w:cs="Arial" w:ascii="Arial" w:hAnsi="Arial"/>
          <w:sz w:val="22"/>
          <w:szCs w:val="22"/>
        </w:rPr>
        <w:t xml:space="preserve"> todos os projetos, cadernos de encargos, memoriais descritivos, ARTs, alvarás e qualquer licença e/ou autorização referente à obra, </w:t>
      </w:r>
      <w:r>
        <w:rPr>
          <w:rFonts w:eastAsia="Calibri" w:cs="Arial" w:ascii="Arial" w:hAnsi="Arial"/>
          <w:b/>
          <w:sz w:val="22"/>
          <w:szCs w:val="22"/>
        </w:rPr>
        <w:t>PRESENTE NO CANTEIRO E QUE SEJA DE FÁCIL ACESSO PARA COM A FISCALIZAÇÃO</w:t>
      </w:r>
      <w:r>
        <w:rPr>
          <w:rFonts w:eastAsia="Calibri" w:cs="Arial" w:ascii="Arial" w:hAnsi="Arial"/>
          <w:sz w:val="22"/>
          <w:szCs w:val="22"/>
        </w:rPr>
        <w:t xml:space="preserve"> </w:t>
      </w:r>
      <w:r>
        <w:rPr>
          <w:rFonts w:eastAsia="Calibri" w:cs="Arial" w:ascii="Arial" w:hAnsi="Arial"/>
          <w:b/>
          <w:sz w:val="22"/>
          <w:szCs w:val="22"/>
        </w:rPr>
        <w:t>DE OBRAS E CONTRATOS.</w:t>
      </w:r>
    </w:p>
    <w:p>
      <w:pPr>
        <w:pStyle w:val="Corpodetexto"/>
        <w:tabs>
          <w:tab w:val="left" w:pos="851" w:leader="none"/>
        </w:tabs>
        <w:spacing w:lineRule="auto" w:line="276"/>
        <w:jc w:val="both"/>
        <w:rPr/>
      </w:pPr>
      <w:r>
        <w:rPr>
          <w:rFonts w:eastAsia="Calibri" w:cs="Arial" w:ascii="Arial" w:hAnsi="Arial"/>
          <w:sz w:val="22"/>
          <w:szCs w:val="22"/>
        </w:rPr>
        <w:t>19.15. Entregar a obra e seu entorno totalmente limpa.</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rPr/>
      </w:pPr>
      <w:r>
        <w:rPr>
          <w:rFonts w:cs="Arial" w:ascii="Arial" w:hAnsi="Arial"/>
          <w:sz w:val="22"/>
          <w:szCs w:val="22"/>
        </w:rPr>
        <w:t xml:space="preserve">Itajaí, </w:t>
      </w:r>
      <w:r>
        <w:rPr>
          <w:rFonts w:cs="Arial" w:ascii="Arial" w:hAnsi="Arial"/>
          <w:sz w:val="22"/>
          <w:szCs w:val="22"/>
        </w:rPr>
        <w:t>09</w:t>
      </w:r>
      <w:r>
        <w:rPr>
          <w:rFonts w:cs="Arial" w:ascii="Arial" w:hAnsi="Arial"/>
          <w:sz w:val="22"/>
          <w:szCs w:val="22"/>
        </w:rPr>
        <w:t xml:space="preserve"> de </w:t>
      </w:r>
      <w:r>
        <w:rPr>
          <w:rFonts w:cs="Arial" w:ascii="Arial" w:hAnsi="Arial"/>
          <w:sz w:val="22"/>
          <w:szCs w:val="22"/>
        </w:rPr>
        <w:t>dezembro</w:t>
      </w:r>
      <w:r>
        <w:rPr>
          <w:rFonts w:cs="Arial" w:ascii="Arial" w:hAnsi="Arial"/>
          <w:sz w:val="22"/>
          <w:szCs w:val="22"/>
        </w:rPr>
        <w:t xml:space="preserve"> de 2019.</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bookmarkStart w:id="20" w:name="_GoBack"/>
      <w:bookmarkStart w:id="21" w:name="_GoBack"/>
      <w:bookmarkEnd w:id="21"/>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tbl>
      <w:tblPr>
        <w:tblStyle w:val="Tabelacomgrade"/>
        <w:tblW w:w="9211" w:type="dxa"/>
        <w:jc w:val="left"/>
        <w:tblInd w:w="-168" w:type="dxa"/>
        <w:tblCellMar>
          <w:top w:w="0" w:type="dxa"/>
          <w:left w:w="188" w:type="dxa"/>
          <w:bottom w:w="0" w:type="dxa"/>
          <w:right w:w="108" w:type="dxa"/>
        </w:tblCellMar>
        <w:tblLook w:firstRow="1" w:noVBand="1" w:lastRow="0" w:firstColumn="1" w:lastColumn="0" w:noHBand="0" w:val="04a0"/>
      </w:tblPr>
      <w:tblGrid>
        <w:gridCol w:w="4605"/>
        <w:gridCol w:w="4605"/>
      </w:tblGrid>
      <w:tr>
        <w:trPr/>
        <w:tc>
          <w:tcPr>
            <w:tcW w:w="4605" w:type="dxa"/>
            <w:tcBorders>
              <w:top w:val="nil"/>
              <w:left w:val="nil"/>
              <w:bottom w:val="nil"/>
              <w:right w:val="nil"/>
              <w:insideH w:val="nil"/>
              <w:insideV w:val="nil"/>
            </w:tcBorders>
            <w:shd w:fill="auto" w:val="clear"/>
          </w:tcPr>
          <w:p>
            <w:pPr>
              <w:pStyle w:val="Normal"/>
              <w:tabs>
                <w:tab w:val="left" w:pos="851" w:leader="none"/>
              </w:tabs>
              <w:spacing w:lineRule="auto" w:line="276"/>
              <w:jc w:val="center"/>
              <w:rPr/>
            </w:pPr>
            <w:r>
              <w:rPr>
                <w:rFonts w:eastAsia="Calibri" w:cs="Arial" w:ascii="Arial" w:hAnsi="Arial"/>
                <w:b/>
              </w:rPr>
              <w:t>Virginia Victória Crema Mongelos</w:t>
            </w:r>
          </w:p>
          <w:p>
            <w:pPr>
              <w:pStyle w:val="Normal"/>
              <w:tabs>
                <w:tab w:val="left" w:pos="851" w:leader="none"/>
              </w:tabs>
              <w:spacing w:lineRule="auto" w:line="276"/>
              <w:jc w:val="center"/>
              <w:rPr>
                <w:b w:val="false"/>
                <w:b w:val="false"/>
                <w:bCs w:val="false"/>
              </w:rPr>
            </w:pPr>
            <w:r>
              <w:rPr>
                <w:rFonts w:eastAsia="Calibri" w:cs="Arial" w:ascii="Arial" w:hAnsi="Arial"/>
                <w:b w:val="false"/>
                <w:bCs w:val="false"/>
              </w:rPr>
              <w:t>Engenheira Civil</w:t>
            </w:r>
          </w:p>
          <w:p>
            <w:pPr>
              <w:pStyle w:val="Normal"/>
              <w:tabs>
                <w:tab w:val="left" w:pos="851" w:leader="none"/>
              </w:tabs>
              <w:spacing w:lineRule="auto" w:line="276"/>
              <w:jc w:val="center"/>
              <w:rPr>
                <w:rFonts w:ascii="Arial" w:hAnsi="Arial" w:cs="Arial"/>
              </w:rPr>
            </w:pPr>
            <w:r>
              <w:rPr>
                <w:rFonts w:cs="Arial" w:ascii="Arial" w:hAnsi="Arial"/>
              </w:rPr>
            </w:r>
          </w:p>
        </w:tc>
        <w:tc>
          <w:tcPr>
            <w:tcW w:w="4605" w:type="dxa"/>
            <w:tcBorders>
              <w:top w:val="nil"/>
              <w:left w:val="nil"/>
              <w:bottom w:val="nil"/>
              <w:right w:val="nil"/>
              <w:insideH w:val="nil"/>
              <w:insideV w:val="nil"/>
            </w:tcBorders>
            <w:shd w:fill="auto" w:val="clear"/>
          </w:tcPr>
          <w:p>
            <w:pPr>
              <w:pStyle w:val="Normal"/>
              <w:tabs>
                <w:tab w:val="left" w:pos="851" w:leader="none"/>
              </w:tabs>
              <w:spacing w:lineRule="auto" w:line="276"/>
              <w:jc w:val="center"/>
              <w:rPr>
                <w:rFonts w:ascii="Arial" w:hAnsi="Arial" w:cs="Arial"/>
                <w:b/>
                <w:b/>
              </w:rPr>
            </w:pPr>
            <w:r>
              <w:rPr>
                <w:rFonts w:cs="Arial" w:ascii="Arial" w:hAnsi="Arial"/>
                <w:b/>
              </w:rPr>
              <w:t>Anderson Rodrigues</w:t>
            </w:r>
          </w:p>
          <w:p>
            <w:pPr>
              <w:pStyle w:val="Normal"/>
              <w:tabs>
                <w:tab w:val="left" w:pos="851" w:leader="none"/>
              </w:tabs>
              <w:spacing w:lineRule="auto" w:line="276"/>
              <w:jc w:val="center"/>
              <w:rPr/>
            </w:pPr>
            <w:r>
              <w:rPr>
                <w:rFonts w:cs="Arial" w:ascii="Arial" w:hAnsi="Arial"/>
              </w:rPr>
              <w:t>Diretor de Infraestrutura Escola</w:t>
            </w:r>
          </w:p>
        </w:tc>
      </w:tr>
    </w:tbl>
    <w:p>
      <w:pPr>
        <w:pStyle w:val="Normal"/>
        <w:tabs>
          <w:tab w:val="left" w:pos="851" w:leader="none"/>
        </w:tabs>
        <w:spacing w:lineRule="auto" w:line="276" w:before="0" w:after="120"/>
        <w:rPr/>
      </w:pPr>
      <w:r>
        <w:rPr/>
      </w:r>
    </w:p>
    <w:sectPr>
      <w:headerReference w:type="default" r:id="rId2"/>
      <w:footerReference w:type="default" r:id="rId3"/>
      <w:type w:val="nextPage"/>
      <w:pgSz w:w="11906" w:h="16838"/>
      <w:pgMar w:left="1701" w:right="1134" w:header="851" w:top="1667" w:footer="198"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jc w:val="right"/>
      <w:rPr>
        <w:sz w:val="16"/>
        <w:szCs w:val="16"/>
      </w:rPr>
    </w:pPr>
    <w:r>
      <w:drawing>
        <wp:anchor behindDoc="1" distT="0" distB="6985" distL="133350" distR="114300" simplePos="0" locked="0" layoutInCell="1" allowOverlap="1" relativeHeight="13">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rPr/>
      <w:t>S</w:t>
    </w:r>
    <w:r>
      <w:rPr/>
      <w:t>ecretaria Municipal de Educação</w:t>
    </w:r>
  </w:p>
  <w:p>
    <w:pPr>
      <w:pStyle w:val="NoSpacing"/>
      <w:jc w:val="right"/>
      <w:rPr>
        <w:sz w:val="16"/>
        <w:szCs w:val="16"/>
      </w:rPr>
    </w:pPr>
    <w:r>
      <w:rPr>
        <w:sz w:val="16"/>
        <w:szCs w:val="16"/>
      </w:rPr>
      <w:t>Avenida Vereador Abrahão João Francisco, 3855 - Ressacada</w:t>
    </w:r>
  </w:p>
  <w:p>
    <w:pPr>
      <w:pStyle w:val="NoSpacing"/>
      <w:jc w:val="right"/>
      <w:rPr>
        <w:sz w:val="16"/>
        <w:szCs w:val="16"/>
      </w:rPr>
    </w:pPr>
    <w:r>
      <w:rPr>
        <w:sz w:val="16"/>
        <w:szCs w:val="16"/>
      </w:rPr>
      <w:t>88307-303 • Itajaí • Santa Catarina</w:t>
    </w:r>
  </w:p>
  <w:p>
    <w:pPr>
      <w:pStyle w:val="NoSpacing"/>
      <w:jc w:val="right"/>
      <w:rPr>
        <w:sz w:val="16"/>
        <w:szCs w:val="16"/>
        <w:lang w:val="fr-FR"/>
      </w:rPr>
    </w:pPr>
    <w:r>
      <w:rPr>
        <w:sz w:val="16"/>
        <w:szCs w:val="16"/>
        <w:lang w:val="fr-FR"/>
      </w:rPr>
      <w:t>Fone: 47 3249-3300</w:t>
    </w:r>
  </w:p>
  <w:p>
    <w:pPr>
      <w:pStyle w:val="NoSpacing"/>
      <w:jc w:val="right"/>
      <w:rPr/>
    </w:pPr>
    <w:r>
      <w:rPr>
        <w:sz w:val="16"/>
        <w:szCs w:val="16"/>
        <w:lang w:val="fr-FR"/>
      </w:rPr>
      <w:t>die@edu.itajai.sc.gov.br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rPr>
        <w:rFonts w:ascii="Times New Roman" w:hAnsi="Times New Roman" w:cs="Times New Roman"/>
        <w:szCs w:val="24"/>
      </w:rPr>
    </w:pPr>
    <w:r>
      <w:rPr>
        <w:rFonts w:cs="Times New Roman" w:ascii="Times New Roman" w:hAnsi="Times New Roman"/>
        <w:szCs w:val="24"/>
      </w:rPr>
      <w:drawing>
        <wp:anchor behindDoc="0" distT="0" distB="0" distL="133350" distR="116205" simplePos="0" locked="0" layoutInCell="1" allowOverlap="1" relativeHeight="25">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917" y="0"/>
              <wp:lineTo x="-917" y="19860"/>
              <wp:lineTo x="21579" y="19860"/>
              <wp:lineTo x="21579" y="0"/>
              <wp:lineTo x="-917"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502"/>
        </w:tabs>
        <w:ind w:left="502" w:hanging="360"/>
      </w:pPr>
      <w:rPr>
        <w:sz w:val="22"/>
        <w:i w:val="false"/>
        <w:b w:val="false"/>
        <w:szCs w:val="24"/>
      </w:rPr>
    </w:lvl>
    <w:lvl w:ilvl="1">
      <w:start w:val="1"/>
      <w:numFmt w:val="decimal"/>
      <w:lvlText w:val="%1.%2."/>
      <w:lvlJc w:val="left"/>
      <w:pPr>
        <w:tabs>
          <w:tab w:val="num" w:pos="1132"/>
        </w:tabs>
        <w:ind w:left="1567" w:hanging="432"/>
      </w:pPr>
      <w:rPr>
        <w:sz w:val="22"/>
        <w:i w:val="false"/>
        <w:b w:val="false"/>
        <w:szCs w:val="24"/>
        <w:rFonts w:ascii="Arial" w:hAnsi="Arial"/>
        <w:color w:val="00000A"/>
      </w:rPr>
    </w:lvl>
    <w:lvl w:ilvl="2">
      <w:start w:val="1"/>
      <w:numFmt w:val="decimal"/>
      <w:lvlText w:val="%1.%2.%3."/>
      <w:lvlJc w:val="left"/>
      <w:pPr>
        <w:tabs>
          <w:tab w:val="num" w:pos="1440"/>
        </w:tabs>
        <w:ind w:left="1224" w:hanging="504"/>
      </w:pPr>
      <w:rPr>
        <w:sz w:val="22"/>
        <w:i w:val="false"/>
        <w:b w:val="false"/>
        <w:color w:val="00000A"/>
      </w:rPr>
    </w:lvl>
    <w:lvl w:ilvl="3">
      <w:start w:val="1"/>
      <w:numFmt w:val="decimal"/>
      <w:lvlText w:val="%1.%2.%3.%4."/>
      <w:lvlJc w:val="left"/>
      <w:pPr>
        <w:tabs>
          <w:tab w:val="num" w:pos="1800"/>
        </w:tabs>
        <w:ind w:left="1728" w:hanging="648"/>
      </w:pPr>
      <w:rPr>
        <w:b w:val="false"/>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lvl w:ilvl="0">
      <w:start w:val="16"/>
      <w:numFmt w:val="decimal"/>
      <w:lvlText w:val="%1."/>
      <w:lvlJc w:val="left"/>
      <w:pPr>
        <w:tabs>
          <w:tab w:val="num" w:pos="480"/>
        </w:tabs>
        <w:ind w:left="480" w:hanging="480"/>
      </w:pPr>
    </w:lvl>
    <w:lvl w:ilvl="1">
      <w:start w:val="8"/>
      <w:numFmt w:val="decimal"/>
      <w:lvlText w:val="%1.%2."/>
      <w:lvlJc w:val="left"/>
      <w:pPr>
        <w:tabs>
          <w:tab w:val="num" w:pos="660"/>
        </w:tabs>
        <w:ind w:left="660" w:hanging="480"/>
      </w:pPr>
      <w:rPr>
        <w:sz w:val="24"/>
        <w:b w:val="false"/>
        <w:szCs w:val="24"/>
      </w:r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936"/>
        </w:tabs>
        <w:ind w:left="2936" w:hanging="1800"/>
      </w:pPr>
    </w:lvl>
  </w:abstractNum>
  <w:abstractNum w:abstractNumId="3">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sz w:val="22"/>
        <w:b w:val="false"/>
        <w:rFonts w:ascii="Arial" w:hAnsi="Arial"/>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4">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5">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6">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10"/>
  <w:defaultTabStop w:val="408"/>
  <w:autoHyphenation w:val="fals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c6584"/>
    <w:pPr>
      <w:widowControl w:val="false"/>
      <w:suppressAutoHyphens w:val="true"/>
      <w:bidi w:val="0"/>
      <w:jc w:val="left"/>
    </w:pPr>
    <w:rPr>
      <w:rFonts w:ascii="Times New Roman" w:hAnsi="Times New Roman" w:eastAsia="Lucida Sans Unicode" w:cs="Times New Roman"/>
      <w:color w:val="00000A"/>
      <w:kern w:val="0"/>
      <w:sz w:val="24"/>
      <w:szCs w:val="24"/>
      <w:lang w:val="pt-BR" w:eastAsia="en-US" w:bidi="ar-SA"/>
    </w:rPr>
  </w:style>
  <w:style w:type="paragraph" w:styleId="Ttulo1">
    <w:name w:val="Heading 1"/>
    <w:basedOn w:val="Ttulododocumento"/>
    <w:link w:val="Ttulo1Char"/>
    <w:qFormat/>
    <w:rsid w:val="00bc6584"/>
    <w:pPr>
      <w:keepNext w:val="true"/>
      <w:tabs>
        <w:tab w:val="left" w:pos="0" w:leader="none"/>
      </w:tabs>
      <w:spacing w:before="240" w:after="120"/>
      <w:outlineLvl w:val="0"/>
    </w:pPr>
    <w:rPr>
      <w:rFonts w:ascii="Arial" w:hAnsi="Arial" w:eastAsia="Lucida Sans Unicode" w:cs="Tahoma"/>
      <w:b/>
      <w:bCs/>
      <w:color w:val="00000A"/>
      <w:spacing w:val="0"/>
      <w:sz w:val="32"/>
      <w:szCs w:val="32"/>
    </w:rPr>
  </w:style>
  <w:style w:type="character" w:styleId="DefaultParagraphFont" w:default="1">
    <w:name w:val="Default Paragraph Font"/>
    <w:uiPriority w:val="1"/>
    <w:semiHidden/>
    <w:unhideWhenUsed/>
    <w:qFormat/>
    <w:rPr/>
  </w:style>
  <w:style w:type="character" w:styleId="Ttulo1Char" w:customStyle="1">
    <w:name w:val="Título 1 Char"/>
    <w:basedOn w:val="DefaultParagraphFont"/>
    <w:link w:val="Ttulo1"/>
    <w:qFormat/>
    <w:rsid w:val="00bc6584"/>
    <w:rPr>
      <w:rFonts w:ascii="Arial" w:hAnsi="Arial" w:eastAsia="Lucida Sans Unicode" w:cs="Tahoma"/>
      <w:b/>
      <w:bCs/>
      <w:sz w:val="32"/>
      <w:szCs w:val="32"/>
    </w:rPr>
  </w:style>
  <w:style w:type="character" w:styleId="CabealhoChar" w:customStyle="1">
    <w:name w:val="Cabeçalho Char"/>
    <w:basedOn w:val="DefaultParagraphFont"/>
    <w:link w:val="Cabealho"/>
    <w:uiPriority w:val="99"/>
    <w:qFormat/>
    <w:rsid w:val="00bc6584"/>
    <w:rPr/>
  </w:style>
  <w:style w:type="character" w:styleId="RodapChar" w:customStyle="1">
    <w:name w:val="Rodapé Char"/>
    <w:basedOn w:val="DefaultParagraphFont"/>
    <w:link w:val="Rodap"/>
    <w:qFormat/>
    <w:rsid w:val="00bc6584"/>
    <w:rPr/>
  </w:style>
  <w:style w:type="character" w:styleId="CorpodetextoChar" w:customStyle="1">
    <w:name w:val="Corpo de texto Char"/>
    <w:basedOn w:val="DefaultParagraphFont"/>
    <w:link w:val="Corpodetexto"/>
    <w:qFormat/>
    <w:rsid w:val="00bc6584"/>
    <w:rPr>
      <w:rFonts w:ascii="Times New Roman" w:hAnsi="Times New Roman" w:eastAsia="Lucida Sans Unicode" w:cs="Times New Roman"/>
      <w:sz w:val="24"/>
      <w:szCs w:val="24"/>
    </w:rPr>
  </w:style>
  <w:style w:type="character" w:styleId="TtuloChar" w:customStyle="1">
    <w:name w:val="Título Char"/>
    <w:basedOn w:val="DefaultParagraphFont"/>
    <w:link w:val="Ttulo"/>
    <w:uiPriority w:val="10"/>
    <w:qFormat/>
    <w:rsid w:val="00bc6584"/>
    <w:rPr>
      <w:rFonts w:ascii="Cambria" w:hAnsi="Cambria" w:eastAsia="" w:cs="" w:asciiTheme="majorHAnsi" w:cstheme="majorBidi" w:eastAsiaTheme="majorEastAsia" w:hAnsiTheme="majorHAnsi"/>
      <w:color w:val="17365D" w:themeColor="text2" w:themeShade="bf"/>
      <w:spacing w:val="5"/>
      <w:sz w:val="52"/>
      <w:szCs w:val="52"/>
    </w:rPr>
  </w:style>
  <w:style w:type="character" w:styleId="TextodebaloChar" w:customStyle="1">
    <w:name w:val="Texto de balão Char"/>
    <w:basedOn w:val="DefaultParagraphFont"/>
    <w:link w:val="Textodebalo"/>
    <w:uiPriority w:val="99"/>
    <w:semiHidden/>
    <w:qFormat/>
    <w:rsid w:val="00bc6584"/>
    <w:rPr>
      <w:rFonts w:ascii="Tahoma" w:hAnsi="Tahoma" w:eastAsia="Lucida Sans Unicode" w:cs="Tahoma"/>
      <w:sz w:val="16"/>
      <w:szCs w:val="16"/>
    </w:rPr>
  </w:style>
  <w:style w:type="character" w:styleId="Recuodecorpodetexto2Char" w:customStyle="1">
    <w:name w:val="Recuo de corpo de texto 2 Char"/>
    <w:basedOn w:val="DefaultParagraphFont"/>
    <w:link w:val="Recuodecorpodetexto2"/>
    <w:qFormat/>
    <w:rsid w:val="00515a8f"/>
    <w:rPr>
      <w:rFonts w:ascii="Times New Roman" w:hAnsi="Times New Roman" w:eastAsia="Lucida Sans Unicode" w:cs="Times New Roman"/>
      <w:sz w:val="24"/>
      <w:szCs w:val="24"/>
    </w:rPr>
  </w:style>
  <w:style w:type="character" w:styleId="Corpodetexto3Char" w:customStyle="1">
    <w:name w:val="Corpo de texto 3 Char"/>
    <w:basedOn w:val="DefaultParagraphFont"/>
    <w:link w:val="Corpodetexto3"/>
    <w:qFormat/>
    <w:rsid w:val="00c85edf"/>
    <w:rPr>
      <w:rFonts w:ascii="Times New Roman" w:hAnsi="Times New Roman" w:eastAsia="Times New Roman" w:cs="Times New Roman"/>
      <w:sz w:val="16"/>
      <w:szCs w:val="16"/>
      <w:lang w:eastAsia="pt-BR"/>
    </w:rPr>
  </w:style>
  <w:style w:type="character" w:styleId="Annotationreference">
    <w:name w:val="annotation reference"/>
    <w:basedOn w:val="DefaultParagraphFont"/>
    <w:qFormat/>
    <w:rsid w:val="00c85edf"/>
    <w:rPr>
      <w:sz w:val="16"/>
      <w:szCs w:val="16"/>
    </w:rPr>
  </w:style>
  <w:style w:type="character" w:styleId="Applestylespan" w:customStyle="1">
    <w:name w:val="apple-style-span"/>
    <w:basedOn w:val="DefaultParagraphFont"/>
    <w:qFormat/>
    <w:rsid w:val="00c85edf"/>
    <w:rPr/>
  </w:style>
  <w:style w:type="character" w:styleId="ListLabel1" w:customStyle="1">
    <w:name w:val="ListLabel 1"/>
    <w:qFormat/>
    <w:rPr>
      <w:rFonts w:cs="Courier New"/>
    </w:rPr>
  </w:style>
  <w:style w:type="character" w:styleId="ListLabel2" w:customStyle="1">
    <w:name w:val="ListLabel 2"/>
    <w:qFormat/>
    <w:rPr>
      <w:rFonts w:cs="Courier New"/>
    </w:rPr>
  </w:style>
  <w:style w:type="character" w:styleId="ListLabel3" w:customStyle="1">
    <w:name w:val="ListLabel 3"/>
    <w:qFormat/>
    <w:rPr>
      <w:rFonts w:cs="Courier New"/>
    </w:rPr>
  </w:style>
  <w:style w:type="character" w:styleId="ListLabel4" w:customStyle="1">
    <w:name w:val="ListLabel 4"/>
    <w:qFormat/>
    <w:rPr>
      <w:b w:val="false"/>
      <w:i w:val="false"/>
      <w:sz w:val="22"/>
      <w:szCs w:val="24"/>
    </w:rPr>
  </w:style>
  <w:style w:type="character" w:styleId="ListLabel5" w:customStyle="1">
    <w:name w:val="ListLabel 5"/>
    <w:qFormat/>
    <w:rPr>
      <w:rFonts w:ascii="Arial" w:hAnsi="Arial"/>
      <w:b w:val="false"/>
      <w:i w:val="false"/>
      <w:color w:val="00000A"/>
      <w:sz w:val="22"/>
      <w:szCs w:val="24"/>
    </w:rPr>
  </w:style>
  <w:style w:type="character" w:styleId="ListLabel6" w:customStyle="1">
    <w:name w:val="ListLabel 6"/>
    <w:qFormat/>
    <w:rPr>
      <w:rFonts w:ascii="Arial" w:hAnsi="Arial"/>
      <w:b w:val="false"/>
      <w:i w:val="false"/>
      <w:color w:val="00000A"/>
      <w:sz w:val="22"/>
    </w:rPr>
  </w:style>
  <w:style w:type="character" w:styleId="ListLabel7" w:customStyle="1">
    <w:name w:val="ListLabel 7"/>
    <w:qFormat/>
    <w:rPr>
      <w:b w:val="false"/>
    </w:rPr>
  </w:style>
  <w:style w:type="character" w:styleId="ListLabel8" w:customStyle="1">
    <w:name w:val="ListLabel 8"/>
    <w:qFormat/>
    <w:rPr>
      <w:b w:val="false"/>
      <w:sz w:val="24"/>
      <w:szCs w:val="24"/>
    </w:rPr>
  </w:style>
  <w:style w:type="character" w:styleId="ListLabel9" w:customStyle="1">
    <w:name w:val="ListLabel 9"/>
    <w:qFormat/>
    <w:rPr>
      <w:rFonts w:cs="Courier New"/>
    </w:rPr>
  </w:style>
  <w:style w:type="character" w:styleId="ListLabel10" w:customStyle="1">
    <w:name w:val="ListLabel 10"/>
    <w:qFormat/>
    <w:rPr>
      <w:rFonts w:cs="Courier New"/>
    </w:rPr>
  </w:style>
  <w:style w:type="character" w:styleId="ListLabel11" w:customStyle="1">
    <w:name w:val="ListLabel 11"/>
    <w:qFormat/>
    <w:rPr>
      <w:rFonts w:cs="Courier New"/>
    </w:rPr>
  </w:style>
  <w:style w:type="character" w:styleId="ListLabel12" w:customStyle="1">
    <w:name w:val="ListLabel 12"/>
    <w:qFormat/>
    <w:rPr>
      <w:rFonts w:ascii="Arial" w:hAnsi="Arial"/>
      <w:b w:val="false"/>
      <w:sz w:val="22"/>
    </w:rPr>
  </w:style>
  <w:style w:type="character" w:styleId="ListLabel13" w:customStyle="1">
    <w:name w:val="ListLabel 13"/>
    <w:qFormat/>
    <w:rPr>
      <w:rFonts w:cs="Courier New"/>
    </w:rPr>
  </w:style>
  <w:style w:type="character" w:styleId="ListLabel14" w:customStyle="1">
    <w:name w:val="ListLabel 14"/>
    <w:qFormat/>
    <w:rPr>
      <w:rFonts w:cs="Courier New"/>
    </w:rPr>
  </w:style>
  <w:style w:type="character" w:styleId="ListLabel15" w:customStyle="1">
    <w:name w:val="ListLabel 15"/>
    <w:qFormat/>
    <w:rPr>
      <w:rFonts w:cs="Courier New"/>
    </w:rPr>
  </w:style>
  <w:style w:type="character" w:styleId="ListLabel16" w:customStyle="1">
    <w:name w:val="ListLabel 16"/>
    <w:qFormat/>
    <w:rPr>
      <w:b w:val="false"/>
      <w:i w:val="false"/>
      <w:sz w:val="22"/>
      <w:szCs w:val="24"/>
    </w:rPr>
  </w:style>
  <w:style w:type="character" w:styleId="ListLabel17" w:customStyle="1">
    <w:name w:val="ListLabel 17"/>
    <w:qFormat/>
    <w:rPr>
      <w:rFonts w:ascii="Arial" w:hAnsi="Arial"/>
      <w:b w:val="false"/>
      <w:i w:val="false"/>
      <w:color w:val="00000A"/>
      <w:sz w:val="22"/>
      <w:szCs w:val="24"/>
    </w:rPr>
  </w:style>
  <w:style w:type="character" w:styleId="ListLabel18" w:customStyle="1">
    <w:name w:val="ListLabel 18"/>
    <w:qFormat/>
    <w:rPr>
      <w:rFonts w:ascii="Arial" w:hAnsi="Arial"/>
      <w:b w:val="false"/>
      <w:i w:val="false"/>
      <w:color w:val="00000A"/>
      <w:sz w:val="22"/>
    </w:rPr>
  </w:style>
  <w:style w:type="character" w:styleId="ListLabel19" w:customStyle="1">
    <w:name w:val="ListLabel 19"/>
    <w:qFormat/>
    <w:rPr>
      <w:b w:val="false"/>
    </w:rPr>
  </w:style>
  <w:style w:type="character" w:styleId="ListLabel20" w:customStyle="1">
    <w:name w:val="ListLabel 20"/>
    <w:qFormat/>
    <w:rPr>
      <w:b w:val="false"/>
      <w:sz w:val="24"/>
      <w:szCs w:val="24"/>
    </w:rPr>
  </w:style>
  <w:style w:type="character" w:styleId="ListLabel21" w:customStyle="1">
    <w:name w:val="ListLabel 21"/>
    <w:qFormat/>
    <w:rPr>
      <w:rFonts w:cs="Symbol"/>
    </w:rPr>
  </w:style>
  <w:style w:type="character" w:styleId="ListLabel22" w:customStyle="1">
    <w:name w:val="ListLabel 22"/>
    <w:qFormat/>
    <w:rPr>
      <w:rFonts w:cs="Courier New"/>
    </w:rPr>
  </w:style>
  <w:style w:type="character" w:styleId="ListLabel23" w:customStyle="1">
    <w:name w:val="ListLabel 23"/>
    <w:qFormat/>
    <w:rPr>
      <w:rFonts w:cs="Wingdings"/>
    </w:rPr>
  </w:style>
  <w:style w:type="character" w:styleId="ListLabel24" w:customStyle="1">
    <w:name w:val="ListLabel 24"/>
    <w:qFormat/>
    <w:rPr>
      <w:rFonts w:ascii="Arial" w:hAnsi="Arial" w:cs="Symbol"/>
      <w:sz w:val="22"/>
    </w:rPr>
  </w:style>
  <w:style w:type="character" w:styleId="ListLabel25" w:customStyle="1">
    <w:name w:val="ListLabel 25"/>
    <w:qFormat/>
    <w:rPr>
      <w:rFonts w:cs="Courier New"/>
    </w:rPr>
  </w:style>
  <w:style w:type="character" w:styleId="ListLabel26" w:customStyle="1">
    <w:name w:val="ListLabel 26"/>
    <w:qFormat/>
    <w:rPr>
      <w:rFonts w:cs="Wingdings"/>
    </w:rPr>
  </w:style>
  <w:style w:type="character" w:styleId="ListLabel27" w:customStyle="1">
    <w:name w:val="ListLabel 27"/>
    <w:qFormat/>
    <w:rPr>
      <w:rFonts w:cs="Symbol"/>
    </w:rPr>
  </w:style>
  <w:style w:type="character" w:styleId="ListLabel28" w:customStyle="1">
    <w:name w:val="ListLabel 28"/>
    <w:qFormat/>
    <w:rPr>
      <w:rFonts w:cs="Courier New"/>
    </w:rPr>
  </w:style>
  <w:style w:type="character" w:styleId="ListLabel29" w:customStyle="1">
    <w:name w:val="ListLabel 29"/>
    <w:qFormat/>
    <w:rPr>
      <w:rFonts w:cs="Wingdings"/>
    </w:rPr>
  </w:style>
  <w:style w:type="character" w:styleId="ListLabel30" w:customStyle="1">
    <w:name w:val="ListLabel 30"/>
    <w:qFormat/>
    <w:rPr>
      <w:rFonts w:ascii="Arial" w:hAnsi="Arial"/>
      <w:b w:val="false"/>
      <w:sz w:val="22"/>
    </w:rPr>
  </w:style>
  <w:style w:type="character" w:styleId="ListLabel31" w:customStyle="1">
    <w:name w:val="ListLabel 31"/>
    <w:qFormat/>
    <w:rPr>
      <w:b w:val="false"/>
      <w:i w:val="false"/>
      <w:sz w:val="22"/>
      <w:szCs w:val="24"/>
    </w:rPr>
  </w:style>
  <w:style w:type="character" w:styleId="ListLabel32" w:customStyle="1">
    <w:name w:val="ListLabel 32"/>
    <w:qFormat/>
    <w:rPr>
      <w:rFonts w:ascii="Arial" w:hAnsi="Arial"/>
      <w:b w:val="false"/>
      <w:i w:val="false"/>
      <w:color w:val="00000A"/>
      <w:sz w:val="22"/>
      <w:szCs w:val="24"/>
    </w:rPr>
  </w:style>
  <w:style w:type="character" w:styleId="ListLabel33" w:customStyle="1">
    <w:name w:val="ListLabel 33"/>
    <w:qFormat/>
    <w:rPr>
      <w:rFonts w:ascii="Arial" w:hAnsi="Arial"/>
      <w:b w:val="false"/>
      <w:i w:val="false"/>
      <w:color w:val="00000A"/>
      <w:sz w:val="22"/>
    </w:rPr>
  </w:style>
  <w:style w:type="character" w:styleId="ListLabel34" w:customStyle="1">
    <w:name w:val="ListLabel 34"/>
    <w:qFormat/>
    <w:rPr>
      <w:b w:val="false"/>
    </w:rPr>
  </w:style>
  <w:style w:type="character" w:styleId="ListLabel35" w:customStyle="1">
    <w:name w:val="ListLabel 35"/>
    <w:qFormat/>
    <w:rPr>
      <w:b w:val="false"/>
      <w:sz w:val="24"/>
      <w:szCs w:val="24"/>
    </w:rPr>
  </w:style>
  <w:style w:type="character" w:styleId="ListLabel36" w:customStyle="1">
    <w:name w:val="ListLabel 36"/>
    <w:qFormat/>
    <w:rPr>
      <w:rFonts w:cs="Symbol"/>
    </w:rPr>
  </w:style>
  <w:style w:type="character" w:styleId="ListLabel37" w:customStyle="1">
    <w:name w:val="ListLabel 37"/>
    <w:qFormat/>
    <w:rPr>
      <w:rFonts w:cs="Courier New"/>
    </w:rPr>
  </w:style>
  <w:style w:type="character" w:styleId="ListLabel38" w:customStyle="1">
    <w:name w:val="ListLabel 38"/>
    <w:qFormat/>
    <w:rPr>
      <w:rFonts w:cs="Wingdings"/>
    </w:rPr>
  </w:style>
  <w:style w:type="character" w:styleId="ListLabel39" w:customStyle="1">
    <w:name w:val="ListLabel 39"/>
    <w:qFormat/>
    <w:rPr>
      <w:rFonts w:ascii="Arial" w:hAnsi="Arial" w:cs="Symbol"/>
      <w:sz w:val="22"/>
    </w:rPr>
  </w:style>
  <w:style w:type="character" w:styleId="ListLabel40" w:customStyle="1">
    <w:name w:val="ListLabel 40"/>
    <w:qFormat/>
    <w:rPr>
      <w:rFonts w:cs="Courier New"/>
    </w:rPr>
  </w:style>
  <w:style w:type="character" w:styleId="ListLabel41" w:customStyle="1">
    <w:name w:val="ListLabel 41"/>
    <w:qFormat/>
    <w:rPr>
      <w:rFonts w:cs="Wingdings"/>
    </w:rPr>
  </w:style>
  <w:style w:type="character" w:styleId="ListLabel42" w:customStyle="1">
    <w:name w:val="ListLabel 42"/>
    <w:qFormat/>
    <w:rPr>
      <w:rFonts w:cs="Symbol"/>
    </w:rPr>
  </w:style>
  <w:style w:type="character" w:styleId="ListLabel43" w:customStyle="1">
    <w:name w:val="ListLabel 43"/>
    <w:qFormat/>
    <w:rPr>
      <w:rFonts w:cs="Courier New"/>
    </w:rPr>
  </w:style>
  <w:style w:type="character" w:styleId="ListLabel44" w:customStyle="1">
    <w:name w:val="ListLabel 44"/>
    <w:qFormat/>
    <w:rPr>
      <w:rFonts w:cs="Wingdings"/>
    </w:rPr>
  </w:style>
  <w:style w:type="character" w:styleId="ListLabel45" w:customStyle="1">
    <w:name w:val="ListLabel 45"/>
    <w:qFormat/>
    <w:rPr>
      <w:rFonts w:ascii="Arial" w:hAnsi="Arial"/>
      <w:b w:val="false"/>
      <w:sz w:val="22"/>
    </w:rPr>
  </w:style>
  <w:style w:type="character" w:styleId="ListLabel46" w:customStyle="1">
    <w:name w:val="ListLabel 46"/>
    <w:qFormat/>
    <w:rPr>
      <w:b w:val="false"/>
      <w:i w:val="false"/>
      <w:sz w:val="22"/>
      <w:szCs w:val="24"/>
    </w:rPr>
  </w:style>
  <w:style w:type="character" w:styleId="ListLabel47" w:customStyle="1">
    <w:name w:val="ListLabel 47"/>
    <w:qFormat/>
    <w:rPr>
      <w:rFonts w:ascii="Arial" w:hAnsi="Arial"/>
      <w:b w:val="false"/>
      <w:i w:val="false"/>
      <w:color w:val="00000A"/>
      <w:sz w:val="22"/>
      <w:szCs w:val="24"/>
    </w:rPr>
  </w:style>
  <w:style w:type="character" w:styleId="ListLabel48" w:customStyle="1">
    <w:name w:val="ListLabel 48"/>
    <w:qFormat/>
    <w:rPr>
      <w:rFonts w:ascii="Arial" w:hAnsi="Arial"/>
      <w:b w:val="false"/>
      <w:i w:val="false"/>
      <w:color w:val="00000A"/>
      <w:sz w:val="22"/>
    </w:rPr>
  </w:style>
  <w:style w:type="character" w:styleId="ListLabel49" w:customStyle="1">
    <w:name w:val="ListLabel 49"/>
    <w:qFormat/>
    <w:rPr>
      <w:b w:val="false"/>
    </w:rPr>
  </w:style>
  <w:style w:type="character" w:styleId="ListLabel50" w:customStyle="1">
    <w:name w:val="ListLabel 50"/>
    <w:qFormat/>
    <w:rPr>
      <w:b w:val="false"/>
      <w:sz w:val="24"/>
      <w:szCs w:val="24"/>
    </w:rPr>
  </w:style>
  <w:style w:type="character" w:styleId="ListLabel51" w:customStyle="1">
    <w:name w:val="ListLabel 51"/>
    <w:qFormat/>
    <w:rPr>
      <w:rFonts w:cs="Symbol"/>
    </w:rPr>
  </w:style>
  <w:style w:type="character" w:styleId="ListLabel52" w:customStyle="1">
    <w:name w:val="ListLabel 52"/>
    <w:qFormat/>
    <w:rPr>
      <w:rFonts w:cs="Courier New"/>
    </w:rPr>
  </w:style>
  <w:style w:type="character" w:styleId="ListLabel53" w:customStyle="1">
    <w:name w:val="ListLabel 53"/>
    <w:qFormat/>
    <w:rPr>
      <w:rFonts w:cs="Wingdings"/>
    </w:rPr>
  </w:style>
  <w:style w:type="character" w:styleId="ListLabel54" w:customStyle="1">
    <w:name w:val="ListLabel 54"/>
    <w:qFormat/>
    <w:rPr>
      <w:rFonts w:ascii="Arial" w:hAnsi="Arial" w:cs="Symbol"/>
      <w:sz w:val="22"/>
    </w:rPr>
  </w:style>
  <w:style w:type="character" w:styleId="ListLabel55" w:customStyle="1">
    <w:name w:val="ListLabel 55"/>
    <w:qFormat/>
    <w:rPr>
      <w:rFonts w:cs="Courier New"/>
    </w:rPr>
  </w:style>
  <w:style w:type="character" w:styleId="ListLabel56" w:customStyle="1">
    <w:name w:val="ListLabel 56"/>
    <w:qFormat/>
    <w:rPr>
      <w:rFonts w:cs="Wingdings"/>
    </w:rPr>
  </w:style>
  <w:style w:type="character" w:styleId="ListLabel57" w:customStyle="1">
    <w:name w:val="ListLabel 57"/>
    <w:qFormat/>
    <w:rPr>
      <w:rFonts w:cs="Symbol"/>
    </w:rPr>
  </w:style>
  <w:style w:type="character" w:styleId="ListLabel58" w:customStyle="1">
    <w:name w:val="ListLabel 58"/>
    <w:qFormat/>
    <w:rPr>
      <w:rFonts w:cs="Courier New"/>
    </w:rPr>
  </w:style>
  <w:style w:type="character" w:styleId="ListLabel59" w:customStyle="1">
    <w:name w:val="ListLabel 59"/>
    <w:qFormat/>
    <w:rPr>
      <w:rFonts w:cs="Wingdings"/>
    </w:rPr>
  </w:style>
  <w:style w:type="character" w:styleId="ListLabel60" w:customStyle="1">
    <w:name w:val="ListLabel 60"/>
    <w:qFormat/>
    <w:rPr>
      <w:rFonts w:ascii="Arial" w:hAnsi="Arial"/>
      <w:b w:val="false"/>
      <w:sz w:val="22"/>
    </w:rPr>
  </w:style>
  <w:style w:type="character" w:styleId="ListLabel61" w:customStyle="1">
    <w:name w:val="ListLabel 61"/>
    <w:qFormat/>
    <w:rPr>
      <w:b w:val="false"/>
      <w:i w:val="false"/>
      <w:sz w:val="22"/>
      <w:szCs w:val="24"/>
    </w:rPr>
  </w:style>
  <w:style w:type="character" w:styleId="ListLabel62" w:customStyle="1">
    <w:name w:val="ListLabel 62"/>
    <w:qFormat/>
    <w:rPr>
      <w:rFonts w:ascii="Arial" w:hAnsi="Arial"/>
      <w:b w:val="false"/>
      <w:i w:val="false"/>
      <w:color w:val="00000A"/>
      <w:sz w:val="22"/>
      <w:szCs w:val="24"/>
    </w:rPr>
  </w:style>
  <w:style w:type="character" w:styleId="ListLabel63" w:customStyle="1">
    <w:name w:val="ListLabel 63"/>
    <w:qFormat/>
    <w:rPr>
      <w:rFonts w:ascii="Arial" w:hAnsi="Arial"/>
      <w:b w:val="false"/>
      <w:i w:val="false"/>
      <w:color w:val="00000A"/>
      <w:sz w:val="22"/>
    </w:rPr>
  </w:style>
  <w:style w:type="character" w:styleId="ListLabel64" w:customStyle="1">
    <w:name w:val="ListLabel 64"/>
    <w:qFormat/>
    <w:rPr>
      <w:b w:val="false"/>
    </w:rPr>
  </w:style>
  <w:style w:type="character" w:styleId="ListLabel65" w:customStyle="1">
    <w:name w:val="ListLabel 65"/>
    <w:qFormat/>
    <w:rPr>
      <w:b w:val="false"/>
      <w:sz w:val="24"/>
      <w:szCs w:val="24"/>
    </w:rPr>
  </w:style>
  <w:style w:type="character" w:styleId="ListLabel66" w:customStyle="1">
    <w:name w:val="ListLabel 66"/>
    <w:qFormat/>
    <w:rPr>
      <w:rFonts w:cs="Symbol"/>
    </w:rPr>
  </w:style>
  <w:style w:type="character" w:styleId="ListLabel67" w:customStyle="1">
    <w:name w:val="ListLabel 67"/>
    <w:qFormat/>
    <w:rPr>
      <w:rFonts w:cs="Courier New"/>
    </w:rPr>
  </w:style>
  <w:style w:type="character" w:styleId="ListLabel68" w:customStyle="1">
    <w:name w:val="ListLabel 68"/>
    <w:qFormat/>
    <w:rPr>
      <w:rFonts w:cs="Wingdings"/>
    </w:rPr>
  </w:style>
  <w:style w:type="character" w:styleId="ListLabel69" w:customStyle="1">
    <w:name w:val="ListLabel 69"/>
    <w:qFormat/>
    <w:rPr>
      <w:rFonts w:ascii="Arial" w:hAnsi="Arial" w:cs="Symbol"/>
      <w:sz w:val="22"/>
    </w:rPr>
  </w:style>
  <w:style w:type="character" w:styleId="ListLabel70" w:customStyle="1">
    <w:name w:val="ListLabel 70"/>
    <w:qFormat/>
    <w:rPr>
      <w:rFonts w:cs="Courier New"/>
    </w:rPr>
  </w:style>
  <w:style w:type="character" w:styleId="ListLabel71" w:customStyle="1">
    <w:name w:val="ListLabel 71"/>
    <w:qFormat/>
    <w:rPr>
      <w:rFonts w:cs="Wingdings"/>
    </w:rPr>
  </w:style>
  <w:style w:type="character" w:styleId="ListLabel72" w:customStyle="1">
    <w:name w:val="ListLabel 72"/>
    <w:qFormat/>
    <w:rPr>
      <w:rFonts w:cs="Symbol"/>
    </w:rPr>
  </w:style>
  <w:style w:type="character" w:styleId="ListLabel73" w:customStyle="1">
    <w:name w:val="ListLabel 73"/>
    <w:qFormat/>
    <w:rPr>
      <w:rFonts w:cs="Courier New"/>
    </w:rPr>
  </w:style>
  <w:style w:type="character" w:styleId="ListLabel74" w:customStyle="1">
    <w:name w:val="ListLabel 74"/>
    <w:qFormat/>
    <w:rPr>
      <w:rFonts w:cs="Wingdings"/>
    </w:rPr>
  </w:style>
  <w:style w:type="character" w:styleId="ListLabel75" w:customStyle="1">
    <w:name w:val="ListLabel 75"/>
    <w:qFormat/>
    <w:rPr>
      <w:rFonts w:ascii="Arial" w:hAnsi="Arial"/>
      <w:b w:val="false"/>
      <w:sz w:val="22"/>
    </w:rPr>
  </w:style>
  <w:style w:type="character" w:styleId="ListLabel76" w:customStyle="1">
    <w:name w:val="ListLabel 76"/>
    <w:qFormat/>
    <w:rPr>
      <w:b w:val="false"/>
      <w:i w:val="false"/>
      <w:sz w:val="22"/>
      <w:szCs w:val="24"/>
    </w:rPr>
  </w:style>
  <w:style w:type="character" w:styleId="ListLabel77" w:customStyle="1">
    <w:name w:val="ListLabel 77"/>
    <w:qFormat/>
    <w:rPr>
      <w:rFonts w:ascii="Arial" w:hAnsi="Arial"/>
      <w:b w:val="false"/>
      <w:i w:val="false"/>
      <w:color w:val="00000A"/>
      <w:sz w:val="22"/>
      <w:szCs w:val="24"/>
    </w:rPr>
  </w:style>
  <w:style w:type="character" w:styleId="ListLabel78" w:customStyle="1">
    <w:name w:val="ListLabel 78"/>
    <w:qFormat/>
    <w:rPr>
      <w:rFonts w:ascii="Arial" w:hAnsi="Arial"/>
      <w:b w:val="false"/>
      <w:i w:val="false"/>
      <w:color w:val="00000A"/>
      <w:sz w:val="22"/>
    </w:rPr>
  </w:style>
  <w:style w:type="character" w:styleId="ListLabel79" w:customStyle="1">
    <w:name w:val="ListLabel 79"/>
    <w:qFormat/>
    <w:rPr>
      <w:b w:val="false"/>
    </w:rPr>
  </w:style>
  <w:style w:type="character" w:styleId="ListLabel80" w:customStyle="1">
    <w:name w:val="ListLabel 80"/>
    <w:qFormat/>
    <w:rPr>
      <w:b w:val="false"/>
      <w:sz w:val="24"/>
      <w:szCs w:val="24"/>
    </w:rPr>
  </w:style>
  <w:style w:type="character" w:styleId="ListLabel81" w:customStyle="1">
    <w:name w:val="ListLabel 81"/>
    <w:qFormat/>
    <w:rPr>
      <w:rFonts w:cs="Symbol"/>
    </w:rPr>
  </w:style>
  <w:style w:type="character" w:styleId="ListLabel82" w:customStyle="1">
    <w:name w:val="ListLabel 82"/>
    <w:qFormat/>
    <w:rPr>
      <w:rFonts w:cs="Courier New"/>
    </w:rPr>
  </w:style>
  <w:style w:type="character" w:styleId="ListLabel83" w:customStyle="1">
    <w:name w:val="ListLabel 83"/>
    <w:qFormat/>
    <w:rPr>
      <w:rFonts w:cs="Wingdings"/>
    </w:rPr>
  </w:style>
  <w:style w:type="character" w:styleId="ListLabel84" w:customStyle="1">
    <w:name w:val="ListLabel 84"/>
    <w:qFormat/>
    <w:rPr>
      <w:rFonts w:ascii="Arial" w:hAnsi="Arial" w:cs="Symbol"/>
      <w:sz w:val="22"/>
    </w:rPr>
  </w:style>
  <w:style w:type="character" w:styleId="ListLabel85" w:customStyle="1">
    <w:name w:val="ListLabel 85"/>
    <w:qFormat/>
    <w:rPr>
      <w:rFonts w:cs="Courier New"/>
    </w:rPr>
  </w:style>
  <w:style w:type="character" w:styleId="ListLabel86" w:customStyle="1">
    <w:name w:val="ListLabel 86"/>
    <w:qFormat/>
    <w:rPr>
      <w:rFonts w:cs="Wingdings"/>
    </w:rPr>
  </w:style>
  <w:style w:type="character" w:styleId="ListLabel87" w:customStyle="1">
    <w:name w:val="ListLabel 87"/>
    <w:qFormat/>
    <w:rPr>
      <w:rFonts w:cs="Symbol"/>
    </w:rPr>
  </w:style>
  <w:style w:type="character" w:styleId="ListLabel88" w:customStyle="1">
    <w:name w:val="ListLabel 88"/>
    <w:qFormat/>
    <w:rPr>
      <w:rFonts w:cs="Courier New"/>
    </w:rPr>
  </w:style>
  <w:style w:type="character" w:styleId="ListLabel89" w:customStyle="1">
    <w:name w:val="ListLabel 89"/>
    <w:qFormat/>
    <w:rPr>
      <w:rFonts w:cs="Wingdings"/>
    </w:rPr>
  </w:style>
  <w:style w:type="character" w:styleId="ListLabel90" w:customStyle="1">
    <w:name w:val="ListLabel 90"/>
    <w:qFormat/>
    <w:rPr>
      <w:rFonts w:ascii="Arial" w:hAnsi="Arial"/>
      <w:b w:val="false"/>
      <w:sz w:val="22"/>
    </w:rPr>
  </w:style>
  <w:style w:type="character" w:styleId="ListLabel91" w:customStyle="1">
    <w:name w:val="ListLabel 91"/>
    <w:qFormat/>
    <w:rPr>
      <w:b w:val="false"/>
      <w:i w:val="false"/>
      <w:sz w:val="22"/>
      <w:szCs w:val="24"/>
    </w:rPr>
  </w:style>
  <w:style w:type="character" w:styleId="ListLabel92" w:customStyle="1">
    <w:name w:val="ListLabel 92"/>
    <w:qFormat/>
    <w:rPr>
      <w:rFonts w:ascii="Arial" w:hAnsi="Arial"/>
      <w:b w:val="false"/>
      <w:i w:val="false"/>
      <w:color w:val="00000A"/>
      <w:sz w:val="22"/>
      <w:szCs w:val="24"/>
    </w:rPr>
  </w:style>
  <w:style w:type="character" w:styleId="ListLabel93" w:customStyle="1">
    <w:name w:val="ListLabel 93"/>
    <w:qFormat/>
    <w:rPr>
      <w:rFonts w:ascii="Arial" w:hAnsi="Arial"/>
      <w:b w:val="false"/>
      <w:i w:val="false"/>
      <w:color w:val="00000A"/>
      <w:sz w:val="22"/>
    </w:rPr>
  </w:style>
  <w:style w:type="character" w:styleId="ListLabel94" w:customStyle="1">
    <w:name w:val="ListLabel 94"/>
    <w:qFormat/>
    <w:rPr>
      <w:b w:val="false"/>
    </w:rPr>
  </w:style>
  <w:style w:type="character" w:styleId="ListLabel95" w:customStyle="1">
    <w:name w:val="ListLabel 95"/>
    <w:qFormat/>
    <w:rPr>
      <w:b w:val="false"/>
      <w:sz w:val="24"/>
      <w:szCs w:val="24"/>
    </w:rPr>
  </w:style>
  <w:style w:type="character" w:styleId="ListLabel96" w:customStyle="1">
    <w:name w:val="ListLabel 96"/>
    <w:qFormat/>
    <w:rPr>
      <w:rFonts w:cs="Symbol"/>
    </w:rPr>
  </w:style>
  <w:style w:type="character" w:styleId="ListLabel97" w:customStyle="1">
    <w:name w:val="ListLabel 97"/>
    <w:qFormat/>
    <w:rPr>
      <w:rFonts w:cs="Courier New"/>
    </w:rPr>
  </w:style>
  <w:style w:type="character" w:styleId="ListLabel98" w:customStyle="1">
    <w:name w:val="ListLabel 98"/>
    <w:qFormat/>
    <w:rPr>
      <w:rFonts w:cs="Wingdings"/>
    </w:rPr>
  </w:style>
  <w:style w:type="character" w:styleId="ListLabel99" w:customStyle="1">
    <w:name w:val="ListLabel 99"/>
    <w:qFormat/>
    <w:rPr>
      <w:rFonts w:ascii="Arial" w:hAnsi="Arial" w:cs="Symbol"/>
      <w:sz w:val="22"/>
    </w:rPr>
  </w:style>
  <w:style w:type="character" w:styleId="ListLabel100" w:customStyle="1">
    <w:name w:val="ListLabel 100"/>
    <w:qFormat/>
    <w:rPr>
      <w:rFonts w:cs="Courier New"/>
    </w:rPr>
  </w:style>
  <w:style w:type="character" w:styleId="ListLabel101" w:customStyle="1">
    <w:name w:val="ListLabel 101"/>
    <w:qFormat/>
    <w:rPr>
      <w:rFonts w:cs="Wingdings"/>
    </w:rPr>
  </w:style>
  <w:style w:type="character" w:styleId="ListLabel102" w:customStyle="1">
    <w:name w:val="ListLabel 102"/>
    <w:qFormat/>
    <w:rPr>
      <w:rFonts w:cs="Symbol"/>
    </w:rPr>
  </w:style>
  <w:style w:type="character" w:styleId="ListLabel103" w:customStyle="1">
    <w:name w:val="ListLabel 103"/>
    <w:qFormat/>
    <w:rPr>
      <w:rFonts w:cs="Courier New"/>
    </w:rPr>
  </w:style>
  <w:style w:type="character" w:styleId="ListLabel104" w:customStyle="1">
    <w:name w:val="ListLabel 104"/>
    <w:qFormat/>
    <w:rPr>
      <w:rFonts w:cs="Wingdings"/>
    </w:rPr>
  </w:style>
  <w:style w:type="character" w:styleId="ListLabel105" w:customStyle="1">
    <w:name w:val="ListLabel 105"/>
    <w:qFormat/>
    <w:rPr>
      <w:rFonts w:ascii="Arial" w:hAnsi="Arial"/>
      <w:b w:val="false"/>
      <w:sz w:val="22"/>
    </w:rPr>
  </w:style>
  <w:style w:type="character" w:styleId="ListLabel106" w:customStyle="1">
    <w:name w:val="ListLabel 106"/>
    <w:qFormat/>
    <w:rPr>
      <w:b w:val="false"/>
      <w:i w:val="false"/>
      <w:sz w:val="22"/>
      <w:szCs w:val="24"/>
    </w:rPr>
  </w:style>
  <w:style w:type="character" w:styleId="ListLabel107" w:customStyle="1">
    <w:name w:val="ListLabel 107"/>
    <w:qFormat/>
    <w:rPr>
      <w:rFonts w:ascii="Arial" w:hAnsi="Arial"/>
      <w:b w:val="false"/>
      <w:i w:val="false"/>
      <w:color w:val="00000A"/>
      <w:sz w:val="22"/>
      <w:szCs w:val="24"/>
    </w:rPr>
  </w:style>
  <w:style w:type="character" w:styleId="ListLabel108" w:customStyle="1">
    <w:name w:val="ListLabel 108"/>
    <w:qFormat/>
    <w:rPr>
      <w:rFonts w:ascii="Arial" w:hAnsi="Arial"/>
      <w:b w:val="false"/>
      <w:i w:val="false"/>
      <w:color w:val="00000A"/>
      <w:sz w:val="22"/>
    </w:rPr>
  </w:style>
  <w:style w:type="character" w:styleId="ListLabel109" w:customStyle="1">
    <w:name w:val="ListLabel 109"/>
    <w:qFormat/>
    <w:rPr>
      <w:b w:val="false"/>
    </w:rPr>
  </w:style>
  <w:style w:type="character" w:styleId="ListLabel110" w:customStyle="1">
    <w:name w:val="ListLabel 110"/>
    <w:qFormat/>
    <w:rPr>
      <w:b w:val="false"/>
      <w:sz w:val="24"/>
      <w:szCs w:val="24"/>
    </w:rPr>
  </w:style>
  <w:style w:type="character" w:styleId="ListLabel111" w:customStyle="1">
    <w:name w:val="ListLabel 111"/>
    <w:qFormat/>
    <w:rPr>
      <w:rFonts w:cs="Symbol"/>
    </w:rPr>
  </w:style>
  <w:style w:type="character" w:styleId="ListLabel112" w:customStyle="1">
    <w:name w:val="ListLabel 112"/>
    <w:qFormat/>
    <w:rPr>
      <w:rFonts w:cs="Courier New"/>
    </w:rPr>
  </w:style>
  <w:style w:type="character" w:styleId="ListLabel113" w:customStyle="1">
    <w:name w:val="ListLabel 113"/>
    <w:qFormat/>
    <w:rPr>
      <w:rFonts w:cs="Wingdings"/>
    </w:rPr>
  </w:style>
  <w:style w:type="character" w:styleId="ListLabel114" w:customStyle="1">
    <w:name w:val="ListLabel 114"/>
    <w:qFormat/>
    <w:rPr>
      <w:rFonts w:ascii="Arial" w:hAnsi="Arial" w:cs="Symbol"/>
      <w:sz w:val="22"/>
    </w:rPr>
  </w:style>
  <w:style w:type="character" w:styleId="ListLabel115" w:customStyle="1">
    <w:name w:val="ListLabel 115"/>
    <w:qFormat/>
    <w:rPr>
      <w:rFonts w:cs="Courier New"/>
    </w:rPr>
  </w:style>
  <w:style w:type="character" w:styleId="ListLabel116" w:customStyle="1">
    <w:name w:val="ListLabel 116"/>
    <w:qFormat/>
    <w:rPr>
      <w:rFonts w:cs="Wingdings"/>
    </w:rPr>
  </w:style>
  <w:style w:type="character" w:styleId="ListLabel117" w:customStyle="1">
    <w:name w:val="ListLabel 117"/>
    <w:qFormat/>
    <w:rPr>
      <w:rFonts w:cs="Symbol"/>
    </w:rPr>
  </w:style>
  <w:style w:type="character" w:styleId="ListLabel118" w:customStyle="1">
    <w:name w:val="ListLabel 118"/>
    <w:qFormat/>
    <w:rPr>
      <w:rFonts w:cs="Courier New"/>
    </w:rPr>
  </w:style>
  <w:style w:type="character" w:styleId="ListLabel119" w:customStyle="1">
    <w:name w:val="ListLabel 119"/>
    <w:qFormat/>
    <w:rPr>
      <w:rFonts w:cs="Wingdings"/>
    </w:rPr>
  </w:style>
  <w:style w:type="character" w:styleId="ListLabel120" w:customStyle="1">
    <w:name w:val="ListLabel 120"/>
    <w:qFormat/>
    <w:rPr>
      <w:rFonts w:ascii="Arial" w:hAnsi="Arial"/>
      <w:b w:val="false"/>
      <w:sz w:val="22"/>
    </w:rPr>
  </w:style>
  <w:style w:type="character" w:styleId="ListLabel121" w:customStyle="1">
    <w:name w:val="ListLabel 121"/>
    <w:qFormat/>
    <w:rPr>
      <w:b w:val="false"/>
      <w:i w:val="false"/>
      <w:sz w:val="22"/>
      <w:szCs w:val="24"/>
    </w:rPr>
  </w:style>
  <w:style w:type="character" w:styleId="ListLabel122" w:customStyle="1">
    <w:name w:val="ListLabel 122"/>
    <w:qFormat/>
    <w:rPr>
      <w:rFonts w:ascii="Arial" w:hAnsi="Arial"/>
      <w:b w:val="false"/>
      <w:i w:val="false"/>
      <w:color w:val="00000A"/>
      <w:sz w:val="22"/>
      <w:szCs w:val="24"/>
    </w:rPr>
  </w:style>
  <w:style w:type="character" w:styleId="ListLabel123" w:customStyle="1">
    <w:name w:val="ListLabel 123"/>
    <w:qFormat/>
    <w:rPr>
      <w:rFonts w:ascii="Arial" w:hAnsi="Arial"/>
      <w:b w:val="false"/>
      <w:i w:val="false"/>
      <w:color w:val="00000A"/>
      <w:sz w:val="22"/>
    </w:rPr>
  </w:style>
  <w:style w:type="character" w:styleId="ListLabel124" w:customStyle="1">
    <w:name w:val="ListLabel 124"/>
    <w:qFormat/>
    <w:rPr>
      <w:b w:val="false"/>
    </w:rPr>
  </w:style>
  <w:style w:type="character" w:styleId="ListLabel125" w:customStyle="1">
    <w:name w:val="ListLabel 125"/>
    <w:qFormat/>
    <w:rPr>
      <w:b w:val="false"/>
      <w:sz w:val="24"/>
      <w:szCs w:val="24"/>
    </w:rPr>
  </w:style>
  <w:style w:type="character" w:styleId="ListLabel126" w:customStyle="1">
    <w:name w:val="ListLabel 126"/>
    <w:qFormat/>
    <w:rPr>
      <w:rFonts w:cs="Symbol"/>
    </w:rPr>
  </w:style>
  <w:style w:type="character" w:styleId="ListLabel127" w:customStyle="1">
    <w:name w:val="ListLabel 127"/>
    <w:qFormat/>
    <w:rPr>
      <w:rFonts w:cs="Courier New"/>
    </w:rPr>
  </w:style>
  <w:style w:type="character" w:styleId="ListLabel128" w:customStyle="1">
    <w:name w:val="ListLabel 128"/>
    <w:qFormat/>
    <w:rPr>
      <w:rFonts w:cs="Wingdings"/>
    </w:rPr>
  </w:style>
  <w:style w:type="character" w:styleId="ListLabel129" w:customStyle="1">
    <w:name w:val="ListLabel 129"/>
    <w:qFormat/>
    <w:rPr>
      <w:rFonts w:ascii="Arial" w:hAnsi="Arial" w:cs="Symbol"/>
      <w:sz w:val="22"/>
    </w:rPr>
  </w:style>
  <w:style w:type="character" w:styleId="ListLabel130" w:customStyle="1">
    <w:name w:val="ListLabel 130"/>
    <w:qFormat/>
    <w:rPr>
      <w:rFonts w:cs="Courier New"/>
    </w:rPr>
  </w:style>
  <w:style w:type="character" w:styleId="ListLabel131" w:customStyle="1">
    <w:name w:val="ListLabel 131"/>
    <w:qFormat/>
    <w:rPr>
      <w:rFonts w:cs="Wingdings"/>
    </w:rPr>
  </w:style>
  <w:style w:type="character" w:styleId="ListLabel132" w:customStyle="1">
    <w:name w:val="ListLabel 132"/>
    <w:qFormat/>
    <w:rPr>
      <w:rFonts w:cs="Symbol"/>
    </w:rPr>
  </w:style>
  <w:style w:type="character" w:styleId="ListLabel133" w:customStyle="1">
    <w:name w:val="ListLabel 133"/>
    <w:qFormat/>
    <w:rPr>
      <w:rFonts w:cs="Courier New"/>
    </w:rPr>
  </w:style>
  <w:style w:type="character" w:styleId="ListLabel134" w:customStyle="1">
    <w:name w:val="ListLabel 134"/>
    <w:qFormat/>
    <w:rPr>
      <w:rFonts w:cs="Wingdings"/>
    </w:rPr>
  </w:style>
  <w:style w:type="character" w:styleId="ListLabel135" w:customStyle="1">
    <w:name w:val="ListLabel 135"/>
    <w:qFormat/>
    <w:rPr>
      <w:rFonts w:ascii="Arial" w:hAnsi="Arial"/>
      <w:b w:val="false"/>
      <w:sz w:val="22"/>
    </w:rPr>
  </w:style>
  <w:style w:type="character" w:styleId="ListLabel136" w:customStyle="1">
    <w:name w:val="ListLabel 136"/>
    <w:qFormat/>
    <w:rPr>
      <w:b w:val="false"/>
      <w:i w:val="false"/>
      <w:sz w:val="22"/>
      <w:szCs w:val="24"/>
    </w:rPr>
  </w:style>
  <w:style w:type="character" w:styleId="ListLabel137" w:customStyle="1">
    <w:name w:val="ListLabel 137"/>
    <w:qFormat/>
    <w:rPr>
      <w:rFonts w:ascii="Arial" w:hAnsi="Arial"/>
      <w:b w:val="false"/>
      <w:i w:val="false"/>
      <w:color w:val="00000A"/>
      <w:sz w:val="22"/>
      <w:szCs w:val="24"/>
    </w:rPr>
  </w:style>
  <w:style w:type="character" w:styleId="ListLabel138" w:customStyle="1">
    <w:name w:val="ListLabel 138"/>
    <w:qFormat/>
    <w:rPr>
      <w:rFonts w:ascii="Arial" w:hAnsi="Arial"/>
      <w:b w:val="false"/>
      <w:i w:val="false"/>
      <w:color w:val="00000A"/>
      <w:sz w:val="22"/>
    </w:rPr>
  </w:style>
  <w:style w:type="character" w:styleId="ListLabel139" w:customStyle="1">
    <w:name w:val="ListLabel 139"/>
    <w:qFormat/>
    <w:rPr>
      <w:b w:val="false"/>
    </w:rPr>
  </w:style>
  <w:style w:type="character" w:styleId="ListLabel140" w:customStyle="1">
    <w:name w:val="ListLabel 140"/>
    <w:qFormat/>
    <w:rPr>
      <w:b w:val="false"/>
      <w:sz w:val="24"/>
      <w:szCs w:val="24"/>
    </w:rPr>
  </w:style>
  <w:style w:type="character" w:styleId="ListLabel141" w:customStyle="1">
    <w:name w:val="ListLabel 141"/>
    <w:qFormat/>
    <w:rPr>
      <w:rFonts w:cs="Symbol"/>
    </w:rPr>
  </w:style>
  <w:style w:type="character" w:styleId="ListLabel142" w:customStyle="1">
    <w:name w:val="ListLabel 142"/>
    <w:qFormat/>
    <w:rPr>
      <w:rFonts w:cs="Courier New"/>
    </w:rPr>
  </w:style>
  <w:style w:type="character" w:styleId="ListLabel143" w:customStyle="1">
    <w:name w:val="ListLabel 143"/>
    <w:qFormat/>
    <w:rPr>
      <w:rFonts w:cs="Wingdings"/>
    </w:rPr>
  </w:style>
  <w:style w:type="character" w:styleId="ListLabel144" w:customStyle="1">
    <w:name w:val="ListLabel 144"/>
    <w:qFormat/>
    <w:rPr>
      <w:rFonts w:ascii="Arial" w:hAnsi="Arial" w:cs="Symbol"/>
      <w:sz w:val="22"/>
    </w:rPr>
  </w:style>
  <w:style w:type="character" w:styleId="ListLabel145" w:customStyle="1">
    <w:name w:val="ListLabel 145"/>
    <w:qFormat/>
    <w:rPr>
      <w:rFonts w:cs="Courier New"/>
    </w:rPr>
  </w:style>
  <w:style w:type="character" w:styleId="ListLabel146" w:customStyle="1">
    <w:name w:val="ListLabel 146"/>
    <w:qFormat/>
    <w:rPr>
      <w:rFonts w:cs="Wingdings"/>
    </w:rPr>
  </w:style>
  <w:style w:type="character" w:styleId="ListLabel147" w:customStyle="1">
    <w:name w:val="ListLabel 147"/>
    <w:qFormat/>
    <w:rPr>
      <w:rFonts w:cs="Symbol"/>
    </w:rPr>
  </w:style>
  <w:style w:type="character" w:styleId="ListLabel148" w:customStyle="1">
    <w:name w:val="ListLabel 148"/>
    <w:qFormat/>
    <w:rPr>
      <w:rFonts w:cs="Courier New"/>
    </w:rPr>
  </w:style>
  <w:style w:type="character" w:styleId="ListLabel149" w:customStyle="1">
    <w:name w:val="ListLabel 149"/>
    <w:qFormat/>
    <w:rPr>
      <w:rFonts w:cs="Wingdings"/>
    </w:rPr>
  </w:style>
  <w:style w:type="character" w:styleId="ListLabel150" w:customStyle="1">
    <w:name w:val="ListLabel 150"/>
    <w:qFormat/>
    <w:rPr>
      <w:rFonts w:ascii="Arial" w:hAnsi="Arial"/>
      <w:b w:val="false"/>
      <w:sz w:val="22"/>
    </w:rPr>
  </w:style>
  <w:style w:type="character" w:styleId="ListLabel151" w:customStyle="1">
    <w:name w:val="ListLabel 151"/>
    <w:qFormat/>
    <w:rPr>
      <w:b w:val="false"/>
      <w:i w:val="false"/>
      <w:sz w:val="22"/>
      <w:szCs w:val="24"/>
    </w:rPr>
  </w:style>
  <w:style w:type="character" w:styleId="ListLabel152" w:customStyle="1">
    <w:name w:val="ListLabel 152"/>
    <w:qFormat/>
    <w:rPr>
      <w:rFonts w:ascii="Arial" w:hAnsi="Arial"/>
      <w:b w:val="false"/>
      <w:i w:val="false"/>
      <w:color w:val="00000A"/>
      <w:sz w:val="22"/>
      <w:szCs w:val="24"/>
    </w:rPr>
  </w:style>
  <w:style w:type="character" w:styleId="ListLabel153" w:customStyle="1">
    <w:name w:val="ListLabel 153"/>
    <w:qFormat/>
    <w:rPr>
      <w:rFonts w:ascii="Arial" w:hAnsi="Arial"/>
      <w:b w:val="false"/>
      <w:i w:val="false"/>
      <w:color w:val="00000A"/>
      <w:sz w:val="22"/>
    </w:rPr>
  </w:style>
  <w:style w:type="character" w:styleId="ListLabel154" w:customStyle="1">
    <w:name w:val="ListLabel 154"/>
    <w:qFormat/>
    <w:rPr>
      <w:b w:val="false"/>
    </w:rPr>
  </w:style>
  <w:style w:type="character" w:styleId="ListLabel155" w:customStyle="1">
    <w:name w:val="ListLabel 155"/>
    <w:qFormat/>
    <w:rPr>
      <w:b w:val="false"/>
      <w:sz w:val="24"/>
      <w:szCs w:val="24"/>
    </w:rPr>
  </w:style>
  <w:style w:type="character" w:styleId="ListLabel156" w:customStyle="1">
    <w:name w:val="ListLabel 156"/>
    <w:qFormat/>
    <w:rPr>
      <w:rFonts w:cs="Symbol"/>
    </w:rPr>
  </w:style>
  <w:style w:type="character" w:styleId="ListLabel157" w:customStyle="1">
    <w:name w:val="ListLabel 157"/>
    <w:qFormat/>
    <w:rPr>
      <w:rFonts w:cs="Courier New"/>
    </w:rPr>
  </w:style>
  <w:style w:type="character" w:styleId="ListLabel158" w:customStyle="1">
    <w:name w:val="ListLabel 158"/>
    <w:qFormat/>
    <w:rPr>
      <w:rFonts w:cs="Wingdings"/>
    </w:rPr>
  </w:style>
  <w:style w:type="character" w:styleId="ListLabel159" w:customStyle="1">
    <w:name w:val="ListLabel 159"/>
    <w:qFormat/>
    <w:rPr>
      <w:rFonts w:ascii="Arial" w:hAnsi="Arial" w:cs="Symbol"/>
      <w:sz w:val="22"/>
    </w:rPr>
  </w:style>
  <w:style w:type="character" w:styleId="ListLabel160" w:customStyle="1">
    <w:name w:val="ListLabel 160"/>
    <w:qFormat/>
    <w:rPr>
      <w:rFonts w:cs="Courier New"/>
    </w:rPr>
  </w:style>
  <w:style w:type="character" w:styleId="ListLabel161" w:customStyle="1">
    <w:name w:val="ListLabel 161"/>
    <w:qFormat/>
    <w:rPr>
      <w:rFonts w:cs="Wingdings"/>
    </w:rPr>
  </w:style>
  <w:style w:type="character" w:styleId="ListLabel162" w:customStyle="1">
    <w:name w:val="ListLabel 162"/>
    <w:qFormat/>
    <w:rPr>
      <w:rFonts w:cs="Symbol"/>
    </w:rPr>
  </w:style>
  <w:style w:type="character" w:styleId="ListLabel163" w:customStyle="1">
    <w:name w:val="ListLabel 163"/>
    <w:qFormat/>
    <w:rPr>
      <w:rFonts w:cs="Courier New"/>
    </w:rPr>
  </w:style>
  <w:style w:type="character" w:styleId="ListLabel164" w:customStyle="1">
    <w:name w:val="ListLabel 164"/>
    <w:qFormat/>
    <w:rPr>
      <w:rFonts w:cs="Wingdings"/>
    </w:rPr>
  </w:style>
  <w:style w:type="character" w:styleId="ListLabel165" w:customStyle="1">
    <w:name w:val="ListLabel 165"/>
    <w:qFormat/>
    <w:rPr>
      <w:rFonts w:ascii="Arial" w:hAnsi="Arial"/>
      <w:b w:val="false"/>
      <w:sz w:val="22"/>
    </w:rPr>
  </w:style>
  <w:style w:type="character" w:styleId="ListLabel166">
    <w:name w:val="ListLabel 166"/>
    <w:qFormat/>
    <w:rPr>
      <w:b w:val="false"/>
      <w:i w:val="false"/>
      <w:sz w:val="22"/>
      <w:szCs w:val="24"/>
    </w:rPr>
  </w:style>
  <w:style w:type="character" w:styleId="ListLabel167">
    <w:name w:val="ListLabel 167"/>
    <w:qFormat/>
    <w:rPr>
      <w:rFonts w:ascii="Arial" w:hAnsi="Arial"/>
      <w:b w:val="false"/>
      <w:i w:val="false"/>
      <w:color w:val="00000A"/>
      <w:sz w:val="22"/>
      <w:szCs w:val="24"/>
    </w:rPr>
  </w:style>
  <w:style w:type="character" w:styleId="ListLabel168">
    <w:name w:val="ListLabel 168"/>
    <w:qFormat/>
    <w:rPr>
      <w:rFonts w:ascii="Arial" w:hAnsi="Arial"/>
      <w:b w:val="false"/>
      <w:i w:val="false"/>
      <w:color w:val="00000A"/>
      <w:sz w:val="22"/>
    </w:rPr>
  </w:style>
  <w:style w:type="character" w:styleId="ListLabel169">
    <w:name w:val="ListLabel 169"/>
    <w:qFormat/>
    <w:rPr>
      <w:b w:val="false"/>
    </w:rPr>
  </w:style>
  <w:style w:type="character" w:styleId="ListLabel170">
    <w:name w:val="ListLabel 170"/>
    <w:qFormat/>
    <w:rPr>
      <w:b w:val="false"/>
      <w:sz w:val="24"/>
      <w:szCs w:val="24"/>
    </w:rPr>
  </w:style>
  <w:style w:type="character" w:styleId="ListLabel171">
    <w:name w:val="ListLabel 171"/>
    <w:qFormat/>
    <w:rPr>
      <w:rFonts w:cs="Symbol"/>
    </w:rPr>
  </w:style>
  <w:style w:type="character" w:styleId="ListLabel172">
    <w:name w:val="ListLabel 172"/>
    <w:qFormat/>
    <w:rPr>
      <w:rFonts w:cs="Courier New"/>
    </w:rPr>
  </w:style>
  <w:style w:type="character" w:styleId="ListLabel173">
    <w:name w:val="ListLabel 173"/>
    <w:qFormat/>
    <w:rPr>
      <w:rFonts w:cs="Wingdings"/>
    </w:rPr>
  </w:style>
  <w:style w:type="character" w:styleId="ListLabel174">
    <w:name w:val="ListLabel 174"/>
    <w:qFormat/>
    <w:rPr>
      <w:rFonts w:ascii="Arial" w:hAnsi="Arial" w:cs="Symbol"/>
      <w:sz w:val="22"/>
    </w:rPr>
  </w:style>
  <w:style w:type="character" w:styleId="ListLabel175">
    <w:name w:val="ListLabel 175"/>
    <w:qFormat/>
    <w:rPr>
      <w:rFonts w:cs="Courier New"/>
    </w:rPr>
  </w:style>
  <w:style w:type="character" w:styleId="ListLabel176">
    <w:name w:val="ListLabel 176"/>
    <w:qFormat/>
    <w:rPr>
      <w:rFonts w:cs="Wingdings"/>
    </w:rPr>
  </w:style>
  <w:style w:type="character" w:styleId="ListLabel177">
    <w:name w:val="ListLabel 177"/>
    <w:qFormat/>
    <w:rPr>
      <w:rFonts w:cs="Symbol"/>
    </w:rPr>
  </w:style>
  <w:style w:type="character" w:styleId="ListLabel178">
    <w:name w:val="ListLabel 178"/>
    <w:qFormat/>
    <w:rPr>
      <w:rFonts w:cs="Courier New"/>
    </w:rPr>
  </w:style>
  <w:style w:type="character" w:styleId="ListLabel179">
    <w:name w:val="ListLabel 179"/>
    <w:qFormat/>
    <w:rPr>
      <w:rFonts w:cs="Wingdings"/>
    </w:rPr>
  </w:style>
  <w:style w:type="character" w:styleId="ListLabel180">
    <w:name w:val="ListLabel 180"/>
    <w:qFormat/>
    <w:rPr>
      <w:rFonts w:ascii="Arial" w:hAnsi="Arial"/>
      <w:b w:val="false"/>
      <w:sz w:val="22"/>
    </w:rPr>
  </w:style>
  <w:style w:type="character" w:styleId="ListLabel181">
    <w:name w:val="ListLabel 181"/>
    <w:qFormat/>
    <w:rPr>
      <w:b w:val="false"/>
      <w:i w:val="false"/>
      <w:sz w:val="22"/>
      <w:szCs w:val="24"/>
    </w:rPr>
  </w:style>
  <w:style w:type="character" w:styleId="ListLabel182">
    <w:name w:val="ListLabel 182"/>
    <w:qFormat/>
    <w:rPr>
      <w:rFonts w:ascii="Arial" w:hAnsi="Arial"/>
      <w:b w:val="false"/>
      <w:i w:val="false"/>
      <w:color w:val="00000A"/>
      <w:sz w:val="22"/>
      <w:szCs w:val="24"/>
    </w:rPr>
  </w:style>
  <w:style w:type="character" w:styleId="ListLabel183">
    <w:name w:val="ListLabel 183"/>
    <w:qFormat/>
    <w:rPr>
      <w:rFonts w:ascii="Arial" w:hAnsi="Arial"/>
      <w:b w:val="false"/>
      <w:i w:val="false"/>
      <w:color w:val="00000A"/>
      <w:sz w:val="22"/>
    </w:rPr>
  </w:style>
  <w:style w:type="character" w:styleId="ListLabel184">
    <w:name w:val="ListLabel 184"/>
    <w:qFormat/>
    <w:rPr>
      <w:b w:val="false"/>
    </w:rPr>
  </w:style>
  <w:style w:type="character" w:styleId="ListLabel185">
    <w:name w:val="ListLabel 185"/>
    <w:qFormat/>
    <w:rPr>
      <w:b w:val="false"/>
      <w:sz w:val="24"/>
      <w:szCs w:val="24"/>
    </w:rPr>
  </w:style>
  <w:style w:type="character" w:styleId="ListLabel186">
    <w:name w:val="ListLabel 186"/>
    <w:qFormat/>
    <w:rPr>
      <w:rFonts w:cs="Symbol"/>
    </w:rPr>
  </w:style>
  <w:style w:type="character" w:styleId="ListLabel187">
    <w:name w:val="ListLabel 187"/>
    <w:qFormat/>
    <w:rPr>
      <w:rFonts w:cs="Courier New"/>
    </w:rPr>
  </w:style>
  <w:style w:type="character" w:styleId="ListLabel188">
    <w:name w:val="ListLabel 188"/>
    <w:qFormat/>
    <w:rPr>
      <w:rFonts w:cs="Wingdings"/>
    </w:rPr>
  </w:style>
  <w:style w:type="character" w:styleId="ListLabel189">
    <w:name w:val="ListLabel 189"/>
    <w:qFormat/>
    <w:rPr>
      <w:rFonts w:ascii="Arial" w:hAnsi="Arial" w:cs="Symbol"/>
      <w:sz w:val="22"/>
    </w:rPr>
  </w:style>
  <w:style w:type="character" w:styleId="ListLabel190">
    <w:name w:val="ListLabel 190"/>
    <w:qFormat/>
    <w:rPr>
      <w:rFonts w:cs="Courier New"/>
    </w:rPr>
  </w:style>
  <w:style w:type="character" w:styleId="ListLabel191">
    <w:name w:val="ListLabel 191"/>
    <w:qFormat/>
    <w:rPr>
      <w:rFonts w:cs="Wingdings"/>
    </w:rPr>
  </w:style>
  <w:style w:type="character" w:styleId="ListLabel192">
    <w:name w:val="ListLabel 192"/>
    <w:qFormat/>
    <w:rPr>
      <w:rFonts w:cs="Symbol"/>
    </w:rPr>
  </w:style>
  <w:style w:type="character" w:styleId="ListLabel193">
    <w:name w:val="ListLabel 193"/>
    <w:qFormat/>
    <w:rPr>
      <w:rFonts w:cs="Courier New"/>
    </w:rPr>
  </w:style>
  <w:style w:type="character" w:styleId="ListLabel194">
    <w:name w:val="ListLabel 194"/>
    <w:qFormat/>
    <w:rPr>
      <w:rFonts w:cs="Wingdings"/>
    </w:rPr>
  </w:style>
  <w:style w:type="character" w:styleId="ListLabel195">
    <w:name w:val="ListLabel 195"/>
    <w:qFormat/>
    <w:rPr>
      <w:rFonts w:ascii="Arial" w:hAnsi="Arial"/>
      <w:b w:val="false"/>
      <w:sz w:val="22"/>
    </w:rPr>
  </w:style>
  <w:style w:type="character" w:styleId="ListLabel196">
    <w:name w:val="ListLabel 196"/>
    <w:qFormat/>
    <w:rPr>
      <w:b w:val="false"/>
      <w:i w:val="false"/>
      <w:sz w:val="22"/>
      <w:szCs w:val="24"/>
    </w:rPr>
  </w:style>
  <w:style w:type="character" w:styleId="ListLabel197">
    <w:name w:val="ListLabel 197"/>
    <w:qFormat/>
    <w:rPr>
      <w:rFonts w:ascii="Arial" w:hAnsi="Arial"/>
      <w:b w:val="false"/>
      <w:i w:val="false"/>
      <w:color w:val="00000A"/>
      <w:sz w:val="22"/>
      <w:szCs w:val="24"/>
    </w:rPr>
  </w:style>
  <w:style w:type="character" w:styleId="ListLabel198">
    <w:name w:val="ListLabel 198"/>
    <w:qFormat/>
    <w:rPr>
      <w:rFonts w:ascii="Arial" w:hAnsi="Arial"/>
      <w:b w:val="false"/>
      <w:i w:val="false"/>
      <w:color w:val="00000A"/>
      <w:sz w:val="22"/>
    </w:rPr>
  </w:style>
  <w:style w:type="character" w:styleId="ListLabel199">
    <w:name w:val="ListLabel 199"/>
    <w:qFormat/>
    <w:rPr>
      <w:b w:val="false"/>
    </w:rPr>
  </w:style>
  <w:style w:type="character" w:styleId="ListLabel200">
    <w:name w:val="ListLabel 200"/>
    <w:qFormat/>
    <w:rPr>
      <w:b w:val="false"/>
      <w:sz w:val="24"/>
      <w:szCs w:val="24"/>
    </w:rPr>
  </w:style>
  <w:style w:type="character" w:styleId="ListLabel201">
    <w:name w:val="ListLabel 201"/>
    <w:qFormat/>
    <w:rPr>
      <w:rFonts w:cs="Symbol"/>
    </w:rPr>
  </w:style>
  <w:style w:type="character" w:styleId="ListLabel202">
    <w:name w:val="ListLabel 202"/>
    <w:qFormat/>
    <w:rPr>
      <w:rFonts w:cs="Courier New"/>
    </w:rPr>
  </w:style>
  <w:style w:type="character" w:styleId="ListLabel203">
    <w:name w:val="ListLabel 203"/>
    <w:qFormat/>
    <w:rPr>
      <w:rFonts w:cs="Wingdings"/>
    </w:rPr>
  </w:style>
  <w:style w:type="character" w:styleId="ListLabel204">
    <w:name w:val="ListLabel 204"/>
    <w:qFormat/>
    <w:rPr>
      <w:rFonts w:ascii="Arial" w:hAnsi="Arial" w:cs="Symbol"/>
      <w:sz w:val="22"/>
    </w:rPr>
  </w:style>
  <w:style w:type="character" w:styleId="ListLabel205">
    <w:name w:val="ListLabel 205"/>
    <w:qFormat/>
    <w:rPr>
      <w:rFonts w:cs="Courier New"/>
    </w:rPr>
  </w:style>
  <w:style w:type="character" w:styleId="ListLabel206">
    <w:name w:val="ListLabel 206"/>
    <w:qFormat/>
    <w:rPr>
      <w:rFonts w:cs="Wingdings"/>
    </w:rPr>
  </w:style>
  <w:style w:type="character" w:styleId="ListLabel207">
    <w:name w:val="ListLabel 207"/>
    <w:qFormat/>
    <w:rPr>
      <w:rFonts w:cs="Symbol"/>
    </w:rPr>
  </w:style>
  <w:style w:type="character" w:styleId="ListLabel208">
    <w:name w:val="ListLabel 208"/>
    <w:qFormat/>
    <w:rPr>
      <w:rFonts w:cs="Courier New"/>
    </w:rPr>
  </w:style>
  <w:style w:type="character" w:styleId="ListLabel209">
    <w:name w:val="ListLabel 209"/>
    <w:qFormat/>
    <w:rPr>
      <w:rFonts w:cs="Wingdings"/>
    </w:rPr>
  </w:style>
  <w:style w:type="character" w:styleId="ListLabel210">
    <w:name w:val="ListLabel 210"/>
    <w:qFormat/>
    <w:rPr>
      <w:rFonts w:ascii="Arial" w:hAnsi="Arial"/>
      <w:b w:val="false"/>
      <w:sz w:val="22"/>
    </w:rPr>
  </w:style>
  <w:style w:type="character" w:styleId="ListLabel211">
    <w:name w:val="ListLabel 211"/>
    <w:qFormat/>
    <w:rPr>
      <w:b w:val="false"/>
      <w:i w:val="false"/>
      <w:sz w:val="22"/>
      <w:szCs w:val="24"/>
    </w:rPr>
  </w:style>
  <w:style w:type="character" w:styleId="ListLabel212">
    <w:name w:val="ListLabel 212"/>
    <w:qFormat/>
    <w:rPr>
      <w:rFonts w:ascii="Arial" w:hAnsi="Arial"/>
      <w:b w:val="false"/>
      <w:i w:val="false"/>
      <w:color w:val="00000A"/>
      <w:sz w:val="22"/>
      <w:szCs w:val="24"/>
    </w:rPr>
  </w:style>
  <w:style w:type="character" w:styleId="ListLabel213">
    <w:name w:val="ListLabel 213"/>
    <w:qFormat/>
    <w:rPr>
      <w:rFonts w:ascii="Arial" w:hAnsi="Arial"/>
      <w:b w:val="false"/>
      <w:i w:val="false"/>
      <w:color w:val="00000A"/>
      <w:sz w:val="22"/>
    </w:rPr>
  </w:style>
  <w:style w:type="character" w:styleId="ListLabel214">
    <w:name w:val="ListLabel 214"/>
    <w:qFormat/>
    <w:rPr>
      <w:b w:val="false"/>
    </w:rPr>
  </w:style>
  <w:style w:type="character" w:styleId="ListLabel215">
    <w:name w:val="ListLabel 215"/>
    <w:qFormat/>
    <w:rPr>
      <w:b w:val="false"/>
      <w:sz w:val="24"/>
      <w:szCs w:val="24"/>
    </w:rPr>
  </w:style>
  <w:style w:type="character" w:styleId="ListLabel216">
    <w:name w:val="ListLabel 216"/>
    <w:qFormat/>
    <w:rPr>
      <w:rFonts w:cs="Symbol"/>
    </w:rPr>
  </w:style>
  <w:style w:type="character" w:styleId="ListLabel217">
    <w:name w:val="ListLabel 217"/>
    <w:qFormat/>
    <w:rPr>
      <w:rFonts w:cs="Courier New"/>
    </w:rPr>
  </w:style>
  <w:style w:type="character" w:styleId="ListLabel218">
    <w:name w:val="ListLabel 218"/>
    <w:qFormat/>
    <w:rPr>
      <w:rFonts w:cs="Wingdings"/>
    </w:rPr>
  </w:style>
  <w:style w:type="character" w:styleId="ListLabel219">
    <w:name w:val="ListLabel 219"/>
    <w:qFormat/>
    <w:rPr>
      <w:rFonts w:ascii="Arial" w:hAnsi="Arial" w:cs="Symbol"/>
      <w:sz w:val="22"/>
    </w:rPr>
  </w:style>
  <w:style w:type="character" w:styleId="ListLabel220">
    <w:name w:val="ListLabel 220"/>
    <w:qFormat/>
    <w:rPr>
      <w:rFonts w:cs="Courier New"/>
    </w:rPr>
  </w:style>
  <w:style w:type="character" w:styleId="ListLabel221">
    <w:name w:val="ListLabel 221"/>
    <w:qFormat/>
    <w:rPr>
      <w:rFonts w:cs="Wingdings"/>
    </w:rPr>
  </w:style>
  <w:style w:type="character" w:styleId="ListLabel222">
    <w:name w:val="ListLabel 222"/>
    <w:qFormat/>
    <w:rPr>
      <w:rFonts w:cs="Symbol"/>
    </w:rPr>
  </w:style>
  <w:style w:type="character" w:styleId="ListLabel223">
    <w:name w:val="ListLabel 223"/>
    <w:qFormat/>
    <w:rPr>
      <w:rFonts w:cs="Courier New"/>
    </w:rPr>
  </w:style>
  <w:style w:type="character" w:styleId="ListLabel224">
    <w:name w:val="ListLabel 224"/>
    <w:qFormat/>
    <w:rPr>
      <w:rFonts w:cs="Wingdings"/>
    </w:rPr>
  </w:style>
  <w:style w:type="character" w:styleId="ListLabel225">
    <w:name w:val="ListLabel 225"/>
    <w:qFormat/>
    <w:rPr>
      <w:rFonts w:ascii="Arial" w:hAnsi="Arial"/>
      <w:b w:val="false"/>
      <w:sz w:val="22"/>
    </w:rPr>
  </w:style>
  <w:style w:type="character" w:styleId="Marcas">
    <w:name w:val="Marcas"/>
    <w:qFormat/>
    <w:rPr>
      <w:rFonts w:ascii="OpenSymbol" w:hAnsi="OpenSymbol" w:eastAsia="OpenSymbol" w:cs="OpenSymbol"/>
    </w:rPr>
  </w:style>
  <w:style w:type="character" w:styleId="ListLabel226">
    <w:name w:val="ListLabel 226"/>
    <w:qFormat/>
    <w:rPr>
      <w:b w:val="false"/>
      <w:i w:val="false"/>
      <w:sz w:val="22"/>
      <w:szCs w:val="24"/>
    </w:rPr>
  </w:style>
  <w:style w:type="character" w:styleId="ListLabel227">
    <w:name w:val="ListLabel 227"/>
    <w:qFormat/>
    <w:rPr>
      <w:rFonts w:ascii="Arial" w:hAnsi="Arial"/>
      <w:b w:val="false"/>
      <w:i w:val="false"/>
      <w:color w:val="00000A"/>
      <w:sz w:val="22"/>
      <w:szCs w:val="24"/>
    </w:rPr>
  </w:style>
  <w:style w:type="character" w:styleId="ListLabel228">
    <w:name w:val="ListLabel 228"/>
    <w:qFormat/>
    <w:rPr>
      <w:b w:val="false"/>
      <w:i w:val="false"/>
      <w:color w:val="00000A"/>
      <w:sz w:val="22"/>
    </w:rPr>
  </w:style>
  <w:style w:type="character" w:styleId="ListLabel229">
    <w:name w:val="ListLabel 229"/>
    <w:qFormat/>
    <w:rPr>
      <w:b w:val="false"/>
    </w:rPr>
  </w:style>
  <w:style w:type="character" w:styleId="ListLabel230">
    <w:name w:val="ListLabel 230"/>
    <w:qFormat/>
    <w:rPr>
      <w:b w:val="false"/>
      <w:sz w:val="24"/>
      <w:szCs w:val="24"/>
    </w:rPr>
  </w:style>
  <w:style w:type="character" w:styleId="ListLabel231">
    <w:name w:val="ListLabel 231"/>
    <w:qFormat/>
    <w:rPr>
      <w:rFonts w:ascii="Arial" w:hAnsi="Arial"/>
      <w:b w:val="false"/>
      <w:sz w:val="22"/>
    </w:rPr>
  </w:style>
  <w:style w:type="character" w:styleId="ListLabel232">
    <w:name w:val="ListLabel 232"/>
    <w:qFormat/>
    <w:rPr>
      <w:rFonts w:cs="OpenSymbol"/>
    </w:rPr>
  </w:style>
  <w:style w:type="character" w:styleId="ListLabel233">
    <w:name w:val="ListLabel 233"/>
    <w:qFormat/>
    <w:rPr>
      <w:rFonts w:cs="OpenSymbol"/>
    </w:rPr>
  </w:style>
  <w:style w:type="character" w:styleId="ListLabel234">
    <w:name w:val="ListLabel 234"/>
    <w:qFormat/>
    <w:rPr>
      <w:rFonts w:cs="OpenSymbol"/>
    </w:rPr>
  </w:style>
  <w:style w:type="character" w:styleId="ListLabel235">
    <w:name w:val="ListLabel 235"/>
    <w:qFormat/>
    <w:rPr>
      <w:rFonts w:cs="OpenSymbol"/>
    </w:rPr>
  </w:style>
  <w:style w:type="character" w:styleId="ListLabel236">
    <w:name w:val="ListLabel 236"/>
    <w:qFormat/>
    <w:rPr>
      <w:rFonts w:cs="OpenSymbol"/>
    </w:rPr>
  </w:style>
  <w:style w:type="character" w:styleId="ListLabel237">
    <w:name w:val="ListLabel 237"/>
    <w:qFormat/>
    <w:rPr>
      <w:rFonts w:cs="OpenSymbol"/>
    </w:rPr>
  </w:style>
  <w:style w:type="character" w:styleId="ListLabel238">
    <w:name w:val="ListLabel 238"/>
    <w:qFormat/>
    <w:rPr>
      <w:rFonts w:cs="OpenSymbol"/>
    </w:rPr>
  </w:style>
  <w:style w:type="character" w:styleId="ListLabel239">
    <w:name w:val="ListLabel 239"/>
    <w:qFormat/>
    <w:rPr>
      <w:rFonts w:cs="OpenSymbol"/>
    </w:rPr>
  </w:style>
  <w:style w:type="character" w:styleId="ListLabel240">
    <w:name w:val="ListLabel 240"/>
    <w:qFormat/>
    <w:rPr>
      <w:rFonts w:cs="OpenSymbol"/>
    </w:rPr>
  </w:style>
  <w:style w:type="character" w:styleId="ListLabel241">
    <w:name w:val="ListLabel 241"/>
    <w:qFormat/>
    <w:rPr>
      <w:rFonts w:cs="OpenSymbol"/>
    </w:rPr>
  </w:style>
  <w:style w:type="character" w:styleId="ListLabel242">
    <w:name w:val="ListLabel 242"/>
    <w:qFormat/>
    <w:rPr>
      <w:rFonts w:cs="OpenSymbol"/>
    </w:rPr>
  </w:style>
  <w:style w:type="character" w:styleId="ListLabel243">
    <w:name w:val="ListLabel 243"/>
    <w:qFormat/>
    <w:rPr>
      <w:rFonts w:cs="OpenSymbol"/>
    </w:rPr>
  </w:style>
  <w:style w:type="character" w:styleId="ListLabel244">
    <w:name w:val="ListLabel 244"/>
    <w:qFormat/>
    <w:rPr>
      <w:rFonts w:cs="OpenSymbol"/>
    </w:rPr>
  </w:style>
  <w:style w:type="character" w:styleId="ListLabel245">
    <w:name w:val="ListLabel 245"/>
    <w:qFormat/>
    <w:rPr>
      <w:rFonts w:cs="OpenSymbol"/>
    </w:rPr>
  </w:style>
  <w:style w:type="character" w:styleId="ListLabel246">
    <w:name w:val="ListLabel 246"/>
    <w:qFormat/>
    <w:rPr>
      <w:rFonts w:cs="OpenSymbol"/>
    </w:rPr>
  </w:style>
  <w:style w:type="character" w:styleId="ListLabel247">
    <w:name w:val="ListLabel 247"/>
    <w:qFormat/>
    <w:rPr>
      <w:rFonts w:cs="OpenSymbol"/>
    </w:rPr>
  </w:style>
  <w:style w:type="character" w:styleId="ListLabel248">
    <w:name w:val="ListLabel 248"/>
    <w:qFormat/>
    <w:rPr>
      <w:rFonts w:cs="OpenSymbol"/>
    </w:rPr>
  </w:style>
  <w:style w:type="character" w:styleId="ListLabel249">
    <w:name w:val="ListLabel 249"/>
    <w:qFormat/>
    <w:rPr>
      <w:rFonts w:cs="OpenSymbol"/>
    </w:rPr>
  </w:style>
  <w:style w:type="character" w:styleId="ListLabel250">
    <w:name w:val="ListLabel 250"/>
    <w:qFormat/>
    <w:rPr>
      <w:b w:val="false"/>
      <w:i w:val="false"/>
      <w:sz w:val="22"/>
      <w:szCs w:val="24"/>
    </w:rPr>
  </w:style>
  <w:style w:type="character" w:styleId="ListLabel251">
    <w:name w:val="ListLabel 251"/>
    <w:qFormat/>
    <w:rPr>
      <w:rFonts w:ascii="Arial" w:hAnsi="Arial"/>
      <w:b w:val="false"/>
      <w:i w:val="false"/>
      <w:color w:val="00000A"/>
      <w:sz w:val="22"/>
      <w:szCs w:val="24"/>
    </w:rPr>
  </w:style>
  <w:style w:type="character" w:styleId="ListLabel252">
    <w:name w:val="ListLabel 252"/>
    <w:qFormat/>
    <w:rPr>
      <w:b w:val="false"/>
      <w:i w:val="false"/>
      <w:color w:val="00000A"/>
      <w:sz w:val="22"/>
    </w:rPr>
  </w:style>
  <w:style w:type="character" w:styleId="ListLabel253">
    <w:name w:val="ListLabel 253"/>
    <w:qFormat/>
    <w:rPr>
      <w:b w:val="false"/>
    </w:rPr>
  </w:style>
  <w:style w:type="character" w:styleId="ListLabel254">
    <w:name w:val="ListLabel 254"/>
    <w:qFormat/>
    <w:rPr>
      <w:b w:val="false"/>
      <w:sz w:val="24"/>
      <w:szCs w:val="24"/>
    </w:rPr>
  </w:style>
  <w:style w:type="character" w:styleId="ListLabel255">
    <w:name w:val="ListLabel 255"/>
    <w:qFormat/>
    <w:rPr>
      <w:rFonts w:ascii="Arial" w:hAnsi="Arial"/>
      <w:b w:val="false"/>
      <w:sz w:val="22"/>
    </w:rPr>
  </w:style>
  <w:style w:type="character" w:styleId="ListLabel256">
    <w:name w:val="ListLabel 256"/>
    <w:qFormat/>
    <w:rPr>
      <w:rFonts w:cs="OpenSymbol"/>
    </w:rPr>
  </w:style>
  <w:style w:type="character" w:styleId="ListLabel257">
    <w:name w:val="ListLabel 257"/>
    <w:qFormat/>
    <w:rPr>
      <w:rFonts w:cs="OpenSymbol"/>
    </w:rPr>
  </w:style>
  <w:style w:type="character" w:styleId="ListLabel258">
    <w:name w:val="ListLabel 258"/>
    <w:qFormat/>
    <w:rPr>
      <w:rFonts w:cs="OpenSymbol"/>
    </w:rPr>
  </w:style>
  <w:style w:type="character" w:styleId="ListLabel259">
    <w:name w:val="ListLabel 259"/>
    <w:qFormat/>
    <w:rPr>
      <w:rFonts w:cs="OpenSymbol"/>
    </w:rPr>
  </w:style>
  <w:style w:type="character" w:styleId="ListLabel260">
    <w:name w:val="ListLabel 260"/>
    <w:qFormat/>
    <w:rPr>
      <w:rFonts w:cs="OpenSymbol"/>
    </w:rPr>
  </w:style>
  <w:style w:type="character" w:styleId="ListLabel261">
    <w:name w:val="ListLabel 261"/>
    <w:qFormat/>
    <w:rPr>
      <w:rFonts w:cs="OpenSymbol"/>
    </w:rPr>
  </w:style>
  <w:style w:type="character" w:styleId="ListLabel262">
    <w:name w:val="ListLabel 262"/>
    <w:qFormat/>
    <w:rPr>
      <w:rFonts w:cs="OpenSymbol"/>
    </w:rPr>
  </w:style>
  <w:style w:type="character" w:styleId="ListLabel263">
    <w:name w:val="ListLabel 263"/>
    <w:qFormat/>
    <w:rPr>
      <w:rFonts w:cs="OpenSymbol"/>
    </w:rPr>
  </w:style>
  <w:style w:type="character" w:styleId="ListLabel264">
    <w:name w:val="ListLabel 264"/>
    <w:qFormat/>
    <w:rPr>
      <w:rFonts w:cs="OpenSymbol"/>
    </w:rPr>
  </w:style>
  <w:style w:type="character" w:styleId="ListLabel265">
    <w:name w:val="ListLabel 265"/>
    <w:qFormat/>
    <w:rPr>
      <w:rFonts w:cs="OpenSymbol"/>
    </w:rPr>
  </w:style>
  <w:style w:type="character" w:styleId="ListLabel266">
    <w:name w:val="ListLabel 266"/>
    <w:qFormat/>
    <w:rPr>
      <w:rFonts w:cs="OpenSymbol"/>
    </w:rPr>
  </w:style>
  <w:style w:type="character" w:styleId="ListLabel267">
    <w:name w:val="ListLabel 267"/>
    <w:qFormat/>
    <w:rPr>
      <w:rFonts w:cs="OpenSymbol"/>
    </w:rPr>
  </w:style>
  <w:style w:type="character" w:styleId="ListLabel268">
    <w:name w:val="ListLabel 268"/>
    <w:qFormat/>
    <w:rPr>
      <w:rFonts w:cs="OpenSymbol"/>
    </w:rPr>
  </w:style>
  <w:style w:type="character" w:styleId="ListLabel269">
    <w:name w:val="ListLabel 269"/>
    <w:qFormat/>
    <w:rPr>
      <w:rFonts w:cs="OpenSymbol"/>
    </w:rPr>
  </w:style>
  <w:style w:type="character" w:styleId="ListLabel270">
    <w:name w:val="ListLabel 270"/>
    <w:qFormat/>
    <w:rPr>
      <w:rFonts w:cs="OpenSymbol"/>
    </w:rPr>
  </w:style>
  <w:style w:type="character" w:styleId="ListLabel271">
    <w:name w:val="ListLabel 271"/>
    <w:qFormat/>
    <w:rPr>
      <w:rFonts w:cs="OpenSymbol"/>
    </w:rPr>
  </w:style>
  <w:style w:type="character" w:styleId="ListLabel272">
    <w:name w:val="ListLabel 272"/>
    <w:qFormat/>
    <w:rPr>
      <w:rFonts w:cs="OpenSymbol"/>
    </w:rPr>
  </w:style>
  <w:style w:type="character" w:styleId="ListLabel273">
    <w:name w:val="ListLabel 273"/>
    <w:qFormat/>
    <w:rPr>
      <w:rFonts w:cs="OpenSymbol"/>
    </w:rPr>
  </w:style>
  <w:style w:type="paragraph" w:styleId="Ttulo">
    <w:name w:val="Título"/>
    <w:basedOn w:val="Normal"/>
    <w:next w:val="Corpodetexto"/>
    <w:qFormat/>
    <w:pPr>
      <w:keepNext w:val="true"/>
      <w:spacing w:before="240" w:after="120"/>
    </w:pPr>
    <w:rPr>
      <w:rFonts w:ascii="Liberation Sans" w:hAnsi="Liberation Sans" w:eastAsia="Microsoft YaHei" w:cs="Mangal"/>
      <w:sz w:val="28"/>
      <w:szCs w:val="28"/>
    </w:rPr>
  </w:style>
  <w:style w:type="paragraph" w:styleId="Corpodetexto">
    <w:name w:val="Body Text"/>
    <w:basedOn w:val="Normal"/>
    <w:link w:val="CorpodetextoChar"/>
    <w:rsid w:val="00bc6584"/>
    <w:pPr>
      <w:spacing w:before="0" w:after="120"/>
    </w:pPr>
    <w:rPr/>
  </w:style>
  <w:style w:type="paragraph" w:styleId="Lista">
    <w:name w:val="List"/>
    <w:basedOn w:val="Corpode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customStyle="1">
    <w:name w:val="Índice"/>
    <w:basedOn w:val="Normal"/>
    <w:qFormat/>
    <w:pPr>
      <w:suppressLineNumbers/>
    </w:pPr>
    <w:rPr>
      <w:rFonts w:cs="Mangal"/>
    </w:rPr>
  </w:style>
  <w:style w:type="paragraph" w:styleId="Ttulododocumento">
    <w:name w:val="Title"/>
    <w:basedOn w:val="Normal"/>
    <w:link w:val="TtuloChar"/>
    <w:uiPriority w:val="10"/>
    <w:qFormat/>
    <w:rsid w:val="00bc6584"/>
    <w:pPr>
      <w:pBdr>
        <w:bottom w:val="single" w:sz="8" w:space="4" w:color="4F81BD"/>
      </w:pBdr>
      <w:spacing w:before="0" w:after="300"/>
      <w:contextualSpacing/>
    </w:pPr>
    <w:rPr>
      <w:rFonts w:ascii="Cambria" w:hAnsi="Cambria" w:eastAsia="" w:cs="" w:asciiTheme="majorHAnsi" w:cstheme="majorBidi" w:eastAsiaTheme="majorEastAsia" w:hAnsiTheme="majorHAnsi"/>
      <w:color w:val="17365D" w:themeColor="text2" w:themeShade="bf"/>
      <w:spacing w:val="5"/>
      <w:sz w:val="52"/>
      <w:szCs w:val="52"/>
    </w:rPr>
  </w:style>
  <w:style w:type="paragraph" w:styleId="Caption">
    <w:name w:val="caption"/>
    <w:basedOn w:val="Normal"/>
    <w:qFormat/>
    <w:pPr>
      <w:suppressLineNumbers/>
      <w:spacing w:before="120" w:after="120"/>
    </w:pPr>
    <w:rPr>
      <w:rFonts w:cs="Mangal"/>
      <w:i/>
      <w:iCs/>
    </w:rPr>
  </w:style>
  <w:style w:type="paragraph" w:styleId="Cabealho">
    <w:name w:val="Header"/>
    <w:basedOn w:val="Normal"/>
    <w:link w:val="CabealhoChar"/>
    <w:uiPriority w:val="99"/>
    <w:unhideWhenUsed/>
    <w:rsid w:val="00bc6584"/>
    <w:pPr>
      <w:widowControl/>
      <w:tabs>
        <w:tab w:val="center" w:pos="4252" w:leader="none"/>
        <w:tab w:val="right" w:pos="8504" w:leader="none"/>
      </w:tabs>
      <w:suppressAutoHyphens w:val="false"/>
    </w:pPr>
    <w:rPr>
      <w:rFonts w:ascii="Calibri" w:hAnsi="Calibri" w:eastAsia="Calibri" w:cs="" w:asciiTheme="minorHAnsi" w:cstheme="minorBidi" w:eastAsiaTheme="minorHAnsi" w:hAnsiTheme="minorHAnsi"/>
      <w:sz w:val="22"/>
      <w:szCs w:val="22"/>
    </w:rPr>
  </w:style>
  <w:style w:type="paragraph" w:styleId="Rodap">
    <w:name w:val="Footer"/>
    <w:basedOn w:val="Normal"/>
    <w:link w:val="RodapChar"/>
    <w:unhideWhenUsed/>
    <w:rsid w:val="00bc6584"/>
    <w:pPr>
      <w:widowControl/>
      <w:tabs>
        <w:tab w:val="center" w:pos="4252" w:leader="none"/>
        <w:tab w:val="right" w:pos="8504" w:leader="none"/>
      </w:tabs>
      <w:suppressAutoHyphens w:val="false"/>
    </w:pPr>
    <w:rPr>
      <w:rFonts w:ascii="Calibri" w:hAnsi="Calibri" w:eastAsia="Calibri" w:cs="" w:asciiTheme="minorHAnsi" w:cstheme="minorBidi" w:eastAsiaTheme="minorHAnsi" w:hAnsiTheme="minorHAnsi"/>
      <w:sz w:val="22"/>
      <w:szCs w:val="22"/>
    </w:rPr>
  </w:style>
  <w:style w:type="paragraph" w:styleId="NoSpacing">
    <w:name w:val="No Spacing"/>
    <w:qFormat/>
    <w:rsid w:val="00bc6584"/>
    <w:pPr>
      <w:widowControl/>
      <w:bidi w:val="0"/>
      <w:jc w:val="left"/>
    </w:pPr>
    <w:rPr>
      <w:rFonts w:ascii="Calibri" w:hAnsi="Calibri" w:eastAsia="Calibri" w:cs=""/>
      <w:color w:val="00000A"/>
      <w:kern w:val="0"/>
      <w:sz w:val="24"/>
      <w:szCs w:val="22"/>
      <w:lang w:val="pt-BR" w:eastAsia="en-US" w:bidi="ar-SA"/>
    </w:rPr>
  </w:style>
  <w:style w:type="paragraph" w:styleId="BalloonText">
    <w:name w:val="Balloon Text"/>
    <w:basedOn w:val="Normal"/>
    <w:link w:val="TextodebaloChar"/>
    <w:uiPriority w:val="99"/>
    <w:semiHidden/>
    <w:unhideWhenUsed/>
    <w:qFormat/>
    <w:rsid w:val="00bc6584"/>
    <w:pPr/>
    <w:rPr>
      <w:rFonts w:ascii="Tahoma" w:hAnsi="Tahoma" w:cs="Tahoma"/>
      <w:sz w:val="16"/>
      <w:szCs w:val="16"/>
    </w:rPr>
  </w:style>
  <w:style w:type="paragraph" w:styleId="BodyTextIndent2">
    <w:name w:val="Body Text Indent 2"/>
    <w:basedOn w:val="Normal"/>
    <w:link w:val="Recuodecorpodetexto2Char"/>
    <w:qFormat/>
    <w:rsid w:val="00515a8f"/>
    <w:pPr>
      <w:spacing w:lineRule="auto" w:line="480" w:before="0" w:after="120"/>
      <w:ind w:left="283" w:hanging="0"/>
    </w:pPr>
    <w:rPr/>
  </w:style>
  <w:style w:type="paragraph" w:styleId="ListParagraph">
    <w:name w:val="List Paragraph"/>
    <w:basedOn w:val="Normal"/>
    <w:uiPriority w:val="34"/>
    <w:qFormat/>
    <w:rsid w:val="00515a8f"/>
    <w:pPr>
      <w:ind w:left="708" w:hanging="0"/>
    </w:pPr>
    <w:rPr/>
  </w:style>
  <w:style w:type="paragraph" w:styleId="BodyText3">
    <w:name w:val="Body Text 3"/>
    <w:basedOn w:val="Normal"/>
    <w:link w:val="Corpodetexto3Char"/>
    <w:qFormat/>
    <w:rsid w:val="00c85edf"/>
    <w:pPr>
      <w:widowControl/>
      <w:suppressAutoHyphens w:val="false"/>
      <w:spacing w:before="0" w:after="120"/>
      <w:textAlignment w:val="baseline"/>
    </w:pPr>
    <w:rPr>
      <w:rFonts w:eastAsia="Times New Roman"/>
      <w:sz w:val="16"/>
      <w:szCs w:val="16"/>
      <w:lang w:eastAsia="pt-BR"/>
    </w:rPr>
  </w:style>
  <w:style w:type="paragraph" w:styleId="PT" w:customStyle="1">
    <w:name w:val="PT"/>
    <w:basedOn w:val="Normal"/>
    <w:qFormat/>
    <w:rsid w:val="00c85edf"/>
    <w:pPr>
      <w:widowControl/>
      <w:suppressAutoHyphens w:val="false"/>
      <w:spacing w:lineRule="atLeast" w:line="360"/>
      <w:jc w:val="both"/>
      <w:textAlignment w:val="baseline"/>
    </w:pPr>
    <w:rPr>
      <w:rFonts w:ascii="Arial" w:hAnsi="Arial" w:eastAsia="Times New Roman"/>
      <w:b/>
      <w:spacing w:val="30"/>
      <w:szCs w:val="20"/>
      <w:lang w:eastAsia="pt-BR"/>
    </w:rPr>
  </w:style>
  <w:style w:type="paragraph" w:styleId="Style13" w:customStyle="1">
    <w:name w:val="Style 1"/>
    <w:uiPriority w:val="99"/>
    <w:qFormat/>
    <w:rsid w:val="00c85edf"/>
    <w:pPr>
      <w:widowControl w:val="false"/>
      <w:bidi w:val="0"/>
      <w:jc w:val="left"/>
    </w:pPr>
    <w:rPr>
      <w:rFonts w:ascii="Times New Roman" w:hAnsi="Times New Roman" w:eastAsia="Times New Roman" w:cs="Times New Roman"/>
      <w:color w:val="00000A"/>
      <w:kern w:val="0"/>
      <w:sz w:val="24"/>
      <w:szCs w:val="20"/>
      <w:lang w:val="pt-BR" w:eastAsia="pt-BR" w:bidi="ar-SA"/>
    </w:rPr>
  </w:style>
  <w:style w:type="paragraph" w:styleId="Contedodatabela" w:customStyle="1">
    <w:name w:val="Conteúdo da tabela"/>
    <w:basedOn w:val="Normal"/>
    <w:qFormat/>
    <w:pPr/>
    <w:rPr/>
  </w:style>
  <w:style w:type="paragraph" w:styleId="Ttulodetabela" w:customStyle="1">
    <w:name w:val="Título de tabela"/>
    <w:basedOn w:val="Contedodatabela"/>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59"/>
    <w:rsid w:val="00cb4eab"/>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2.jpeg"/>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806270-EEB1-467F-918A-B12958BC0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Application>LibreOffice/6.0.3.2$Windows_x86 LibreOffice_project/8f48d515416608e3a835360314dac7e47fd0b821</Application>
  <Pages>12</Pages>
  <Words>3801</Words>
  <Characters>22098</Characters>
  <CharactersWithSpaces>25718</CharactersWithSpaces>
  <Paragraphs>192</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2017-06-22T14:11:00Z</dcterms:created>
  <dc:creator>Usuário</dc:creator>
  <dc:description/>
  <dc:language>pt-BR</dc:language>
  <cp:lastModifiedBy/>
  <cp:lastPrinted>2018-02-16T18:22:00Z</cp:lastPrinted>
  <dcterms:modified xsi:type="dcterms:W3CDTF">2019-12-10T13:52:31Z</dcterms:modified>
  <cp:revision>36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